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47" w:rsidRDefault="007E1155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>
        <w:rPr>
          <w:rFonts w:ascii="仿宋" w:eastAsia="仿宋" w:hAnsi="仿宋" w:cs="宋体" w:hint="eastAsia"/>
          <w:b/>
          <w:kern w:val="2"/>
          <w:sz w:val="28"/>
          <w:szCs w:val="28"/>
        </w:rPr>
        <w:t>附件</w:t>
      </w:r>
      <w:r>
        <w:rPr>
          <w:rFonts w:ascii="仿宋" w:eastAsia="仿宋" w:hAnsi="仿宋" w:cs="宋体" w:hint="eastAsia"/>
          <w:b/>
          <w:kern w:val="2"/>
          <w:sz w:val="28"/>
          <w:szCs w:val="28"/>
        </w:rPr>
        <w:t>4</w:t>
      </w:r>
    </w:p>
    <w:p w:rsidR="00D05147" w:rsidRDefault="00D05147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</w:p>
    <w:p w:rsidR="00D05147" w:rsidRDefault="007E1155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四川省体育彩票管理中心德阳分中心</w:t>
      </w:r>
      <w:r>
        <w:rPr>
          <w:rFonts w:hAnsi="宋体" w:hint="eastAsia"/>
          <w:b/>
          <w:bCs/>
          <w:kern w:val="2"/>
          <w:sz w:val="32"/>
          <w:szCs w:val="32"/>
        </w:rPr>
        <w:t>2022</w:t>
      </w:r>
      <w:r>
        <w:rPr>
          <w:rFonts w:hAnsi="宋体" w:hint="eastAsia"/>
          <w:b/>
          <w:bCs/>
          <w:kern w:val="2"/>
          <w:sz w:val="32"/>
          <w:szCs w:val="32"/>
        </w:rPr>
        <w:t>年“公益体彩</w:t>
      </w:r>
      <w:r>
        <w:rPr>
          <w:rFonts w:hAnsi="宋体" w:hint="eastAsia"/>
          <w:b/>
          <w:bCs/>
          <w:kern w:val="2"/>
          <w:sz w:val="32"/>
          <w:szCs w:val="32"/>
        </w:rPr>
        <w:t xml:space="preserve"> </w:t>
      </w:r>
      <w:r>
        <w:rPr>
          <w:rFonts w:hAnsi="宋体" w:hint="eastAsia"/>
          <w:b/>
          <w:bCs/>
          <w:kern w:val="2"/>
          <w:sz w:val="32"/>
          <w:szCs w:val="32"/>
        </w:rPr>
        <w:t>共沐书香”品牌宣传落地活动采购项目</w:t>
      </w:r>
      <w:r>
        <w:rPr>
          <w:rFonts w:hAnsi="宋体" w:hint="eastAsia"/>
          <w:b/>
          <w:bCs/>
          <w:kern w:val="2"/>
          <w:sz w:val="32"/>
          <w:szCs w:val="32"/>
        </w:rPr>
        <w:t>第</w:t>
      </w:r>
      <w:r>
        <w:rPr>
          <w:rFonts w:hAnsi="宋体" w:hint="eastAsia"/>
          <w:b/>
          <w:bCs/>
          <w:kern w:val="2"/>
          <w:sz w:val="32"/>
          <w:szCs w:val="32"/>
        </w:rPr>
        <w:t>1</w:t>
      </w:r>
      <w:r>
        <w:rPr>
          <w:rFonts w:hAnsi="宋体" w:hint="eastAsia"/>
          <w:b/>
          <w:bCs/>
          <w:kern w:val="2"/>
          <w:sz w:val="32"/>
          <w:szCs w:val="32"/>
        </w:rPr>
        <w:t>包</w:t>
      </w: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44"/>
        <w:gridCol w:w="1843"/>
        <w:gridCol w:w="1275"/>
        <w:gridCol w:w="2552"/>
        <w:gridCol w:w="2192"/>
      </w:tblGrid>
      <w:tr w:rsidR="00D05147">
        <w:trPr>
          <w:cantSplit/>
          <w:trHeight w:val="838"/>
          <w:tblHeader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D05147" w:rsidRDefault="007E115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Default="007E115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Default="007E115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275" w:type="dxa"/>
            <w:vAlign w:val="center"/>
          </w:tcPr>
          <w:p w:rsidR="00D05147" w:rsidRDefault="007E1155">
            <w:pPr>
              <w:spacing w:line="320" w:lineRule="exact"/>
              <w:ind w:firstLineChars="50" w:firstLine="141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数量（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本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7E1155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小计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元）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05147" w:rsidRDefault="007E1155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D05147" w:rsidTr="00F033D8">
        <w:trPr>
          <w:cantSplit/>
          <w:trHeight w:val="112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7E1155">
            <w:pPr>
              <w:widowControl/>
              <w:spacing w:line="58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  <w:r>
              <w:rPr>
                <w:rFonts w:ascii="Times New Roman" w:eastAsia="方正仿宋_GBK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Pr="00E27B50" w:rsidRDefault="007E1155">
            <w:pPr>
              <w:spacing w:line="40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27B50">
              <w:rPr>
                <w:rFonts w:ascii="方正仿宋_GBK" w:eastAsia="方正仿宋_GBK" w:hint="eastAsia"/>
                <w:sz w:val="28"/>
                <w:szCs w:val="28"/>
              </w:rPr>
              <w:t>图书读本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Pr="00E27B50" w:rsidRDefault="002C584F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int="eastAsia"/>
                <w:kern w:val="2"/>
                <w:sz w:val="28"/>
                <w:szCs w:val="28"/>
              </w:rPr>
            </w:pPr>
            <w:r w:rsidRPr="00E27B50">
              <w:rPr>
                <w:rFonts w:ascii="方正仿宋_GBK" w:eastAsia="方正仿宋_GBK" w:hint="eastAsia"/>
                <w:kern w:val="2"/>
                <w:sz w:val="28"/>
                <w:szCs w:val="28"/>
              </w:rPr>
              <w:t>/</w:t>
            </w:r>
          </w:p>
        </w:tc>
        <w:tc>
          <w:tcPr>
            <w:tcW w:w="1275" w:type="dxa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05147" w:rsidRPr="00F033D8" w:rsidRDefault="00F033D8">
            <w:pPr>
              <w:spacing w:line="400" w:lineRule="exact"/>
              <w:jc w:val="center"/>
              <w:rPr>
                <w:rFonts w:ascii="方正仿宋_GBK" w:eastAsia="方正仿宋_GBK" w:hint="eastAsia"/>
                <w:sz w:val="22"/>
              </w:rPr>
            </w:pPr>
            <w:r w:rsidRPr="00F033D8">
              <w:rPr>
                <w:rFonts w:ascii="方正仿宋_GBK" w:eastAsia="方正仿宋_GBK" w:hAnsi="宋体" w:cs="宋体" w:hint="eastAsia"/>
                <w:sz w:val="22"/>
              </w:rPr>
              <w:t>根据</w:t>
            </w:r>
            <w:r w:rsidR="007E1155" w:rsidRPr="00F033D8">
              <w:rPr>
                <w:rFonts w:ascii="方正仿宋_GBK" w:eastAsia="方正仿宋_GBK" w:hint="eastAsia"/>
                <w:sz w:val="22"/>
              </w:rPr>
              <w:t>书目清单</w:t>
            </w:r>
            <w:r>
              <w:rPr>
                <w:rFonts w:ascii="方正仿宋_GBK" w:eastAsia="方正仿宋_GBK" w:hint="eastAsia"/>
                <w:sz w:val="22"/>
              </w:rPr>
              <w:t>的书名、作者、出版社、出版时间、数量进行</w:t>
            </w:r>
            <w:r w:rsidRPr="00F033D8">
              <w:rPr>
                <w:rFonts w:ascii="方正仿宋_GBK" w:eastAsia="方正仿宋_GBK" w:hAnsi="宋体" w:cs="宋体" w:hint="eastAsia"/>
                <w:sz w:val="22"/>
              </w:rPr>
              <w:t>报价</w:t>
            </w:r>
          </w:p>
        </w:tc>
      </w:tr>
      <w:tr w:rsidR="00D05147" w:rsidTr="00F033D8">
        <w:trPr>
          <w:cantSplit/>
          <w:trHeight w:val="140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D0514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2"/>
              </w:rPr>
            </w:pP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D05147" w:rsidRDefault="007E1155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2"/>
              </w:rPr>
              <w:t>分项报价合计</w:t>
            </w:r>
          </w:p>
        </w:tc>
        <w:tc>
          <w:tcPr>
            <w:tcW w:w="2552" w:type="dxa"/>
            <w:shd w:val="clear" w:color="auto" w:fill="auto"/>
          </w:tcPr>
          <w:p w:rsidR="00D05147" w:rsidRDefault="007E1155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2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2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>万元</w:t>
            </w:r>
          </w:p>
          <w:p w:rsidR="00D05147" w:rsidRDefault="007E1155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2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2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>元整</w:t>
            </w:r>
          </w:p>
        </w:tc>
        <w:tc>
          <w:tcPr>
            <w:tcW w:w="2192" w:type="dxa"/>
            <w:shd w:val="clear" w:color="auto" w:fill="auto"/>
          </w:tcPr>
          <w:p w:rsidR="00D05147" w:rsidRDefault="00D05147">
            <w:pPr>
              <w:widowControl/>
              <w:jc w:val="left"/>
              <w:rPr>
                <w:sz w:val="22"/>
              </w:rPr>
            </w:pPr>
          </w:p>
        </w:tc>
      </w:tr>
    </w:tbl>
    <w:p w:rsidR="00D05147" w:rsidRDefault="00D05147">
      <w:pPr>
        <w:spacing w:line="400" w:lineRule="exac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05147" w:rsidRDefault="007E1155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>
        <w:rPr>
          <w:rFonts w:ascii="仿宋" w:eastAsia="仿宋" w:hAnsi="仿宋" w:cs="宋体" w:hint="eastAsia"/>
          <w:kern w:val="2"/>
          <w:sz w:val="28"/>
          <w:szCs w:val="28"/>
        </w:rPr>
        <w:t>1</w:t>
      </w:r>
      <w:r>
        <w:rPr>
          <w:rFonts w:ascii="仿宋" w:eastAsia="仿宋" w:hAnsi="仿宋" w:cs="宋体" w:hint="eastAsia"/>
          <w:kern w:val="2"/>
          <w:sz w:val="28"/>
          <w:szCs w:val="28"/>
        </w:rPr>
        <w:t>、报价应是最终用户验收合格后的总价，包括货物运输、保险、代理、安装调试、培训、税费、售后和参与项目</w:t>
      </w:r>
      <w:r>
        <w:rPr>
          <w:rFonts w:ascii="仿宋" w:eastAsia="仿宋" w:hAnsi="仿宋" w:cs="宋体"/>
          <w:kern w:val="2"/>
          <w:sz w:val="28"/>
          <w:szCs w:val="28"/>
        </w:rPr>
        <w:t>比选产生的</w:t>
      </w:r>
      <w:r>
        <w:rPr>
          <w:rFonts w:ascii="仿宋" w:eastAsia="仿宋" w:hAnsi="仿宋" w:cs="宋体" w:hint="eastAsia"/>
          <w:kern w:val="2"/>
          <w:sz w:val="28"/>
          <w:szCs w:val="28"/>
        </w:rPr>
        <w:t>其它一切费用。</w:t>
      </w:r>
      <w:proofErr w:type="gramStart"/>
      <w:r>
        <w:rPr>
          <w:rFonts w:ascii="仿宋" w:eastAsia="仿宋" w:hAnsi="仿宋" w:cs="宋体" w:hint="eastAsia"/>
          <w:kern w:val="2"/>
          <w:sz w:val="28"/>
          <w:szCs w:val="28"/>
        </w:rPr>
        <w:t>本宣传</w:t>
      </w:r>
      <w:proofErr w:type="gramEnd"/>
      <w:r>
        <w:rPr>
          <w:rFonts w:ascii="仿宋" w:eastAsia="仿宋" w:hAnsi="仿宋" w:cs="宋体" w:hint="eastAsia"/>
          <w:kern w:val="2"/>
          <w:sz w:val="28"/>
          <w:szCs w:val="28"/>
        </w:rPr>
        <w:t>项目总费用不超过</w:t>
      </w:r>
      <w:r>
        <w:rPr>
          <w:rFonts w:ascii="仿宋" w:eastAsia="仿宋" w:hAnsi="仿宋" w:cs="宋体" w:hint="eastAsia"/>
          <w:kern w:val="2"/>
          <w:sz w:val="28"/>
          <w:szCs w:val="28"/>
        </w:rPr>
        <w:t>4.5</w:t>
      </w:r>
      <w:r>
        <w:rPr>
          <w:rFonts w:ascii="仿宋" w:eastAsia="仿宋" w:hAnsi="仿宋" w:cs="宋体" w:hint="eastAsia"/>
          <w:kern w:val="2"/>
          <w:sz w:val="28"/>
          <w:szCs w:val="28"/>
        </w:rPr>
        <w:t>万元，项目最终执行价以合同签订为准。</w:t>
      </w:r>
    </w:p>
    <w:p w:rsidR="00D05147" w:rsidRDefault="007E1155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大小写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不一致的以大写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D05147" w:rsidRDefault="007E1155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D05147" w:rsidRDefault="007E1155">
      <w:pPr>
        <w:spacing w:line="400" w:lineRule="exact"/>
        <w:ind w:firstLineChars="400" w:firstLine="1120"/>
        <w:jc w:val="left"/>
        <w:rPr>
          <w:rFonts w:ascii="仿宋" w:eastAsia="仿宋" w:hAnsi="仿宋" w:cs="宋体" w:hint="eastAsia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4</w:t>
      </w:r>
      <w:r>
        <w:rPr>
          <w:rFonts w:ascii="仿宋" w:eastAsia="仿宋" w:hAnsi="仿宋" w:cs="宋体" w:hint="eastAsia"/>
          <w:kern w:val="2"/>
          <w:sz w:val="28"/>
          <w:szCs w:val="28"/>
        </w:rPr>
        <w:t>、总价金额与按单价汇总金额不一致的，以单价金额计算结果为准。</w:t>
      </w:r>
    </w:p>
    <w:p w:rsidR="002C584F" w:rsidRPr="002C584F" w:rsidRDefault="002C584F" w:rsidP="002C584F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5、</w:t>
      </w:r>
      <w:r>
        <w:rPr>
          <w:rFonts w:ascii="仿宋" w:eastAsia="仿宋" w:hAnsi="仿宋" w:cs="宋体" w:hint="eastAsia"/>
          <w:kern w:val="2"/>
          <w:sz w:val="28"/>
          <w:szCs w:val="28"/>
        </w:rPr>
        <w:t>报价单中打了“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 w:cs="宋体" w:hint="eastAsia"/>
          <w:kern w:val="2"/>
          <w:sz w:val="28"/>
          <w:szCs w:val="28"/>
        </w:rPr>
        <w:t>”的单元格无需填写。</w:t>
      </w:r>
    </w:p>
    <w:p w:rsidR="00D05147" w:rsidRDefault="007E1155" w:rsidP="00F033D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（单位公章）。</w:t>
      </w:r>
    </w:p>
    <w:p w:rsidR="00D05147" w:rsidRDefault="007E1155" w:rsidP="00F033D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负责人（签字或加盖个人名章）：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D05147" w:rsidRDefault="007E1155" w:rsidP="00F033D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05147" w:rsidRDefault="007E1155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p w:rsidR="00D05147" w:rsidRDefault="00D05147" w:rsidP="00F033D8">
      <w:pPr>
        <w:widowControl/>
        <w:spacing w:line="360" w:lineRule="atLeast"/>
        <w:outlineLvl w:val="1"/>
        <w:rPr>
          <w:rFonts w:hAnsi="宋体"/>
          <w:b/>
          <w:bCs/>
          <w:kern w:val="2"/>
          <w:sz w:val="32"/>
          <w:szCs w:val="32"/>
        </w:rPr>
      </w:pPr>
      <w:bookmarkStart w:id="0" w:name="_GoBack"/>
      <w:bookmarkEnd w:id="0"/>
    </w:p>
    <w:p w:rsidR="00D05147" w:rsidRDefault="007E1155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四川省体育彩票管理中心德阳分中心</w:t>
      </w:r>
      <w:r>
        <w:rPr>
          <w:rFonts w:hAnsi="宋体" w:hint="eastAsia"/>
          <w:b/>
          <w:bCs/>
          <w:kern w:val="2"/>
          <w:sz w:val="32"/>
          <w:szCs w:val="32"/>
        </w:rPr>
        <w:t>2022</w:t>
      </w:r>
      <w:r>
        <w:rPr>
          <w:rFonts w:hAnsi="宋体" w:hint="eastAsia"/>
          <w:b/>
          <w:bCs/>
          <w:kern w:val="2"/>
          <w:sz w:val="32"/>
          <w:szCs w:val="32"/>
        </w:rPr>
        <w:t>年“公益体彩</w:t>
      </w:r>
      <w:r>
        <w:rPr>
          <w:rFonts w:hAnsi="宋体" w:hint="eastAsia"/>
          <w:b/>
          <w:bCs/>
          <w:kern w:val="2"/>
          <w:sz w:val="32"/>
          <w:szCs w:val="32"/>
        </w:rPr>
        <w:t xml:space="preserve"> </w:t>
      </w:r>
      <w:r>
        <w:rPr>
          <w:rFonts w:hAnsi="宋体" w:hint="eastAsia"/>
          <w:b/>
          <w:bCs/>
          <w:kern w:val="2"/>
          <w:sz w:val="32"/>
          <w:szCs w:val="32"/>
        </w:rPr>
        <w:t>共沐书香”品牌宣传落地活动采购项目</w:t>
      </w:r>
      <w:r>
        <w:rPr>
          <w:rFonts w:hAnsi="宋体" w:hint="eastAsia"/>
          <w:b/>
          <w:bCs/>
          <w:kern w:val="2"/>
          <w:sz w:val="32"/>
          <w:szCs w:val="32"/>
        </w:rPr>
        <w:t>第</w:t>
      </w:r>
      <w:r>
        <w:rPr>
          <w:rFonts w:hAnsi="宋体" w:hint="eastAsia"/>
          <w:b/>
          <w:bCs/>
          <w:kern w:val="2"/>
          <w:sz w:val="32"/>
          <w:szCs w:val="32"/>
        </w:rPr>
        <w:t>2</w:t>
      </w:r>
      <w:r>
        <w:rPr>
          <w:rFonts w:hAnsi="宋体" w:hint="eastAsia"/>
          <w:b/>
          <w:bCs/>
          <w:kern w:val="2"/>
          <w:sz w:val="32"/>
          <w:szCs w:val="32"/>
        </w:rPr>
        <w:t>包</w:t>
      </w:r>
      <w:r>
        <w:rPr>
          <w:rFonts w:hAnsi="宋体" w:hint="eastAsia"/>
          <w:b/>
          <w:bCs/>
          <w:kern w:val="2"/>
          <w:sz w:val="32"/>
          <w:szCs w:val="32"/>
        </w:rPr>
        <w:t>报价单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44"/>
        <w:gridCol w:w="1843"/>
        <w:gridCol w:w="1275"/>
        <w:gridCol w:w="2552"/>
        <w:gridCol w:w="2192"/>
      </w:tblGrid>
      <w:tr w:rsidR="00D05147">
        <w:trPr>
          <w:cantSplit/>
          <w:trHeight w:val="838"/>
          <w:tblHeader/>
          <w:jc w:val="center"/>
        </w:trPr>
        <w:tc>
          <w:tcPr>
            <w:tcW w:w="548" w:type="dxa"/>
            <w:shd w:val="clear" w:color="auto" w:fill="FFFFFF"/>
            <w:vAlign w:val="center"/>
          </w:tcPr>
          <w:p w:rsidR="00D05147" w:rsidRDefault="007E115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Default="007E115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Default="007E1155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275" w:type="dxa"/>
            <w:vAlign w:val="center"/>
          </w:tcPr>
          <w:p w:rsidR="00D05147" w:rsidRDefault="007E1155">
            <w:pPr>
              <w:spacing w:line="320" w:lineRule="exact"/>
              <w:ind w:firstLineChars="50" w:firstLine="141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数量（场）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7E1155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小计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元）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05147" w:rsidRDefault="007E1155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D05147">
        <w:trPr>
          <w:cantSplit/>
          <w:trHeight w:val="43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7E1155">
            <w:pPr>
              <w:widowControl/>
              <w:spacing w:line="58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  <w:r>
              <w:rPr>
                <w:rFonts w:ascii="Times New Roman" w:eastAsia="方正仿宋_GBK"/>
                <w:color w:val="000000"/>
                <w:sz w:val="22"/>
                <w:lang w:bidi="ar"/>
              </w:rPr>
              <w:t>1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sz w:val="22"/>
              </w:rPr>
            </w:pPr>
            <w:r>
              <w:rPr>
                <w:rFonts w:eastAsia="方正仿宋_GB2312"/>
                <w:sz w:val="22"/>
              </w:rPr>
              <w:t>活动</w:t>
            </w:r>
            <w:r>
              <w:rPr>
                <w:rFonts w:eastAsia="方正仿宋_GB2312" w:hint="eastAsia"/>
                <w:sz w:val="22"/>
              </w:rPr>
              <w:t>现场搭建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sz w:val="22"/>
              </w:rPr>
            </w:pPr>
            <w:r>
              <w:rPr>
                <w:rFonts w:eastAsia="方正仿宋_GB2312"/>
                <w:sz w:val="22"/>
              </w:rPr>
              <w:t>活动现场背景板</w:t>
            </w:r>
            <w:r>
              <w:rPr>
                <w:rFonts w:eastAsia="方正仿宋_GB2312" w:hint="eastAsia"/>
                <w:sz w:val="22"/>
              </w:rPr>
              <w:t>不少于</w:t>
            </w:r>
            <w:r>
              <w:rPr>
                <w:rFonts w:eastAsia="方正仿宋_GB2312" w:hint="eastAsia"/>
                <w:sz w:val="22"/>
              </w:rPr>
              <w:t>50</w:t>
            </w:r>
            <w:r>
              <w:rPr>
                <w:rFonts w:eastAsia="方正仿宋_GB2312" w:hint="eastAsia"/>
                <w:sz w:val="22"/>
              </w:rPr>
              <w:t>平方米</w:t>
            </w:r>
            <w:r>
              <w:rPr>
                <w:rFonts w:eastAsia="方正仿宋_GB2312"/>
                <w:sz w:val="22"/>
              </w:rPr>
              <w:t>、音响</w:t>
            </w:r>
            <w:r>
              <w:rPr>
                <w:rFonts w:eastAsia="方正仿宋_GB2312" w:hint="eastAsia"/>
                <w:sz w:val="22"/>
              </w:rPr>
              <w:t>1</w:t>
            </w:r>
            <w:r>
              <w:rPr>
                <w:rFonts w:eastAsia="方正仿宋_GB2312" w:hint="eastAsia"/>
                <w:sz w:val="22"/>
              </w:rPr>
              <w:t>套</w:t>
            </w:r>
            <w:r>
              <w:rPr>
                <w:rFonts w:eastAsia="方正仿宋_GB2312"/>
                <w:sz w:val="22"/>
              </w:rPr>
              <w:t>、现场氛围布置</w:t>
            </w:r>
            <w:r>
              <w:rPr>
                <w:rFonts w:eastAsia="方正仿宋_GB2312" w:hint="eastAsia"/>
                <w:sz w:val="22"/>
              </w:rPr>
              <w:t>、公益图书室筹备等</w:t>
            </w:r>
          </w:p>
        </w:tc>
      </w:tr>
      <w:tr w:rsidR="00D05147">
        <w:trPr>
          <w:cantSplit/>
          <w:trHeight w:val="851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7E1155">
            <w:pPr>
              <w:widowControl/>
              <w:spacing w:line="58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  <w:r>
              <w:rPr>
                <w:rFonts w:ascii="Times New Roman" w:eastAsia="方正仿宋_GBK"/>
                <w:color w:val="000000"/>
                <w:sz w:val="22"/>
                <w:lang w:bidi="ar"/>
              </w:rPr>
              <w:t>2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2"/>
              </w:rPr>
            </w:pPr>
            <w:r>
              <w:rPr>
                <w:rFonts w:eastAsia="方正仿宋_GB2312" w:hint="eastAsia"/>
                <w:sz w:val="22"/>
              </w:rPr>
              <w:t>活动用品及互动物料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2"/>
              </w:rPr>
            </w:pPr>
            <w:proofErr w:type="gramStart"/>
            <w:r>
              <w:rPr>
                <w:rFonts w:eastAsia="方正仿宋_GB2312"/>
                <w:sz w:val="22"/>
              </w:rPr>
              <w:t>含</w:t>
            </w:r>
            <w:r>
              <w:rPr>
                <w:rFonts w:eastAsia="方正仿宋_GB2312" w:hint="eastAsia"/>
                <w:sz w:val="22"/>
              </w:rPr>
              <w:t>现场</w:t>
            </w:r>
            <w:proofErr w:type="gramEnd"/>
            <w:r>
              <w:rPr>
                <w:rFonts w:eastAsia="方正仿宋_GB2312" w:hint="eastAsia"/>
                <w:sz w:val="22"/>
              </w:rPr>
              <w:t>互动用品不少于</w:t>
            </w:r>
            <w:r>
              <w:rPr>
                <w:rFonts w:eastAsia="方正仿宋_GB2312" w:hint="eastAsia"/>
                <w:sz w:val="22"/>
              </w:rPr>
              <w:t>100</w:t>
            </w:r>
            <w:r>
              <w:rPr>
                <w:rFonts w:eastAsia="方正仿宋_GB2312" w:hint="eastAsia"/>
                <w:sz w:val="22"/>
              </w:rPr>
              <w:t>份、互动区域不少于</w:t>
            </w:r>
            <w:r>
              <w:rPr>
                <w:rFonts w:eastAsia="方正仿宋_GB2312" w:hint="eastAsia"/>
                <w:sz w:val="22"/>
              </w:rPr>
              <w:t>150</w:t>
            </w:r>
            <w:r>
              <w:rPr>
                <w:rFonts w:eastAsia="方正仿宋_GB2312" w:hint="eastAsia"/>
                <w:sz w:val="22"/>
              </w:rPr>
              <w:t>平方米、体</w:t>
            </w:r>
            <w:proofErr w:type="gramStart"/>
            <w:r>
              <w:rPr>
                <w:rFonts w:eastAsia="方正仿宋_GB2312" w:hint="eastAsia"/>
                <w:sz w:val="22"/>
              </w:rPr>
              <w:t>彩品牌</w:t>
            </w:r>
            <w:proofErr w:type="gramEnd"/>
            <w:r>
              <w:rPr>
                <w:rFonts w:eastAsia="方正仿宋_GB2312" w:hint="eastAsia"/>
                <w:sz w:val="22"/>
              </w:rPr>
              <w:t>内容设计制作不少于</w:t>
            </w:r>
            <w:r>
              <w:rPr>
                <w:rFonts w:eastAsia="方正仿宋_GB2312" w:hint="eastAsia"/>
                <w:sz w:val="22"/>
              </w:rPr>
              <w:t>100</w:t>
            </w:r>
            <w:r>
              <w:rPr>
                <w:rFonts w:eastAsia="方正仿宋_GB2312" w:hint="eastAsia"/>
                <w:sz w:val="22"/>
              </w:rPr>
              <w:t>份</w:t>
            </w:r>
          </w:p>
        </w:tc>
      </w:tr>
      <w:tr w:rsidR="00D05147">
        <w:trPr>
          <w:cantSplit/>
          <w:trHeight w:val="47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7E1155">
            <w:pPr>
              <w:widowControl/>
              <w:spacing w:line="58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  <w:r>
              <w:rPr>
                <w:rFonts w:ascii="Times New Roman" w:eastAsia="方正仿宋_GBK"/>
                <w:color w:val="000000"/>
                <w:sz w:val="22"/>
                <w:lang w:bidi="ar"/>
              </w:rPr>
              <w:t>3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2"/>
              </w:rPr>
            </w:pPr>
            <w:r>
              <w:rPr>
                <w:rFonts w:eastAsia="方正仿宋_GB2312"/>
                <w:sz w:val="22"/>
              </w:rPr>
              <w:t>宣传费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sz w:val="22"/>
              </w:rPr>
            </w:pPr>
            <w:r>
              <w:rPr>
                <w:rFonts w:eastAsia="方正仿宋_GB2312"/>
                <w:sz w:val="22"/>
              </w:rPr>
              <w:t>含活动媒体宣传，新闻稿发布</w:t>
            </w:r>
            <w:r>
              <w:rPr>
                <w:rFonts w:eastAsia="方正仿宋_GB2312" w:hint="eastAsia"/>
                <w:sz w:val="22"/>
              </w:rPr>
              <w:t>不少于</w:t>
            </w:r>
            <w:r>
              <w:rPr>
                <w:rFonts w:eastAsia="方正仿宋_GB2312" w:hint="eastAsia"/>
                <w:sz w:val="22"/>
              </w:rPr>
              <w:t>10</w:t>
            </w:r>
            <w:r>
              <w:rPr>
                <w:rFonts w:eastAsia="方正仿宋_GB2312" w:hint="eastAsia"/>
                <w:sz w:val="22"/>
              </w:rPr>
              <w:t>条</w:t>
            </w:r>
            <w:r>
              <w:rPr>
                <w:rFonts w:eastAsia="方正仿宋_GB2312"/>
                <w:sz w:val="22"/>
              </w:rPr>
              <w:t>等</w:t>
            </w:r>
          </w:p>
        </w:tc>
      </w:tr>
      <w:tr w:rsidR="00D05147">
        <w:trPr>
          <w:cantSplit/>
          <w:trHeight w:val="86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7E1155">
            <w:pPr>
              <w:widowControl/>
              <w:spacing w:line="58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  <w:r>
              <w:rPr>
                <w:rFonts w:ascii="Times New Roman" w:eastAsia="方正仿宋_GBK"/>
                <w:color w:val="000000"/>
                <w:sz w:val="22"/>
                <w:lang w:bidi="ar"/>
              </w:rPr>
              <w:t>4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color w:val="000000"/>
                <w:sz w:val="22"/>
              </w:rPr>
            </w:pPr>
            <w:r>
              <w:rPr>
                <w:rFonts w:eastAsia="方正仿宋_GB2312"/>
                <w:sz w:val="22"/>
              </w:rPr>
              <w:t>活动策划执行费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5147" w:rsidRDefault="00D0514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方正仿宋_GBK"/>
                <w:kern w:val="2"/>
                <w:sz w:val="2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05147" w:rsidRDefault="007E1155">
            <w:pPr>
              <w:spacing w:line="400" w:lineRule="exact"/>
              <w:jc w:val="center"/>
              <w:rPr>
                <w:rFonts w:ascii="Times New Roman" w:eastAsia="方正仿宋_GBK"/>
                <w:sz w:val="22"/>
              </w:rPr>
            </w:pPr>
            <w:r>
              <w:rPr>
                <w:rFonts w:eastAsia="方正仿宋_GB2312"/>
                <w:sz w:val="22"/>
              </w:rPr>
              <w:t>含活动设计、人员组织、现场执行等</w:t>
            </w:r>
          </w:p>
        </w:tc>
      </w:tr>
      <w:tr w:rsidR="00D05147">
        <w:trPr>
          <w:cantSplit/>
          <w:trHeight w:val="86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D05147" w:rsidRDefault="00D0514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2"/>
              </w:rPr>
            </w:pP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D05147" w:rsidRDefault="007E1155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2"/>
              </w:rPr>
              <w:t>分项报价合计</w:t>
            </w:r>
          </w:p>
        </w:tc>
        <w:tc>
          <w:tcPr>
            <w:tcW w:w="2552" w:type="dxa"/>
            <w:shd w:val="clear" w:color="auto" w:fill="auto"/>
          </w:tcPr>
          <w:p w:rsidR="00D05147" w:rsidRDefault="007E1155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2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2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>万元</w:t>
            </w:r>
          </w:p>
          <w:p w:rsidR="00D05147" w:rsidRDefault="007E1155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2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2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2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2"/>
                <w:sz w:val="22"/>
                <w:u w:val="single"/>
              </w:rPr>
              <w:t>元整</w:t>
            </w:r>
          </w:p>
        </w:tc>
        <w:tc>
          <w:tcPr>
            <w:tcW w:w="2192" w:type="dxa"/>
            <w:shd w:val="clear" w:color="auto" w:fill="auto"/>
          </w:tcPr>
          <w:p w:rsidR="00D05147" w:rsidRDefault="00D05147">
            <w:pPr>
              <w:widowControl/>
              <w:jc w:val="left"/>
              <w:rPr>
                <w:sz w:val="22"/>
              </w:rPr>
            </w:pPr>
          </w:p>
        </w:tc>
      </w:tr>
    </w:tbl>
    <w:p w:rsidR="00D05147" w:rsidRDefault="00D05147">
      <w:pPr>
        <w:spacing w:line="400" w:lineRule="exac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05147" w:rsidRDefault="007E1155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>
        <w:rPr>
          <w:rFonts w:ascii="仿宋" w:eastAsia="仿宋" w:hAnsi="仿宋" w:cs="宋体" w:hint="eastAsia"/>
          <w:kern w:val="2"/>
          <w:sz w:val="28"/>
          <w:szCs w:val="28"/>
        </w:rPr>
        <w:t>1</w:t>
      </w:r>
      <w:r>
        <w:rPr>
          <w:rFonts w:ascii="仿宋" w:eastAsia="仿宋" w:hAnsi="仿宋" w:cs="宋体" w:hint="eastAsia"/>
          <w:kern w:val="2"/>
          <w:sz w:val="28"/>
          <w:szCs w:val="28"/>
        </w:rPr>
        <w:t>、报价应是最终用户验收合格后的总价，包括货物运输、保险、代理、安装调试、培训、税费、售后和参与项目</w:t>
      </w:r>
      <w:r>
        <w:rPr>
          <w:rFonts w:ascii="仿宋" w:eastAsia="仿宋" w:hAnsi="仿宋" w:cs="宋体"/>
          <w:kern w:val="2"/>
          <w:sz w:val="28"/>
          <w:szCs w:val="28"/>
        </w:rPr>
        <w:t>比选产生的</w:t>
      </w:r>
      <w:r>
        <w:rPr>
          <w:rFonts w:ascii="仿宋" w:eastAsia="仿宋" w:hAnsi="仿宋" w:cs="宋体" w:hint="eastAsia"/>
          <w:kern w:val="2"/>
          <w:sz w:val="28"/>
          <w:szCs w:val="28"/>
        </w:rPr>
        <w:t>其它一切费用。</w:t>
      </w:r>
      <w:proofErr w:type="gramStart"/>
      <w:r>
        <w:rPr>
          <w:rFonts w:ascii="仿宋" w:eastAsia="仿宋" w:hAnsi="仿宋" w:cs="宋体" w:hint="eastAsia"/>
          <w:kern w:val="2"/>
          <w:sz w:val="28"/>
          <w:szCs w:val="28"/>
        </w:rPr>
        <w:t>本宣传</w:t>
      </w:r>
      <w:proofErr w:type="gramEnd"/>
      <w:r>
        <w:rPr>
          <w:rFonts w:ascii="仿宋" w:eastAsia="仿宋" w:hAnsi="仿宋" w:cs="宋体" w:hint="eastAsia"/>
          <w:kern w:val="2"/>
          <w:sz w:val="28"/>
          <w:szCs w:val="28"/>
        </w:rPr>
        <w:t>项目总费用不超过</w:t>
      </w:r>
      <w:r>
        <w:rPr>
          <w:rFonts w:ascii="仿宋" w:eastAsia="仿宋" w:hAnsi="仿宋" w:cs="宋体" w:hint="eastAsia"/>
          <w:kern w:val="2"/>
          <w:sz w:val="28"/>
          <w:szCs w:val="28"/>
        </w:rPr>
        <w:t>3</w:t>
      </w:r>
      <w:r>
        <w:rPr>
          <w:rFonts w:ascii="仿宋" w:eastAsia="仿宋" w:hAnsi="仿宋" w:cs="宋体" w:hint="eastAsia"/>
          <w:kern w:val="2"/>
          <w:sz w:val="28"/>
          <w:szCs w:val="28"/>
        </w:rPr>
        <w:t>万元，项目最终执行价以合同签订为准。</w:t>
      </w:r>
    </w:p>
    <w:p w:rsidR="00D05147" w:rsidRDefault="007E1155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大小写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不一致的以大写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D05147" w:rsidRDefault="007E1155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</w:t>
      </w:r>
      <w:r>
        <w:rPr>
          <w:rFonts w:ascii="仿宋" w:eastAsia="仿宋" w:hAnsi="仿宋" w:cs="宋体" w:hint="eastAsia"/>
          <w:kern w:val="2"/>
          <w:sz w:val="28"/>
          <w:szCs w:val="28"/>
        </w:rPr>
        <w:t>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D05147" w:rsidRDefault="007E1155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4</w:t>
      </w:r>
      <w:r>
        <w:rPr>
          <w:rFonts w:ascii="仿宋" w:eastAsia="仿宋" w:hAnsi="仿宋" w:cs="宋体" w:hint="eastAsia"/>
          <w:kern w:val="2"/>
          <w:sz w:val="28"/>
          <w:szCs w:val="28"/>
        </w:rPr>
        <w:t>、总价金额与按单价汇总金额不一致的，以单价金额计算结果为准。</w:t>
      </w:r>
    </w:p>
    <w:p w:rsidR="00D05147" w:rsidRDefault="007E1155" w:rsidP="00F033D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（单位公章）。</w:t>
      </w:r>
    </w:p>
    <w:p w:rsidR="00D05147" w:rsidRDefault="007E1155" w:rsidP="00F033D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负责人（签字或加盖个人名章）：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D05147" w:rsidRDefault="007E1155" w:rsidP="00F033D8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05147" w:rsidRDefault="007E1155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sectPr w:rsidR="00D05147">
      <w:pgSz w:w="11906" w:h="16838"/>
      <w:pgMar w:top="851" w:right="1800" w:bottom="568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5" w:rsidRDefault="007E1155" w:rsidP="00F033D8">
      <w:r>
        <w:separator/>
      </w:r>
    </w:p>
  </w:endnote>
  <w:endnote w:type="continuationSeparator" w:id="0">
    <w:p w:rsidR="007E1155" w:rsidRDefault="007E1155" w:rsidP="00F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8BCDC4C-E102-4352-A1D5-B607E982F884}"/>
    <w:embedBold r:id="rId2" w:subsetted="1" w:fontKey="{5566B549-150E-4A23-BFC3-E68AB00B6091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51556A8-6370-4444-89AB-A78BE3A051C2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4" w:subsetted="1" w:fontKey="{6247E43D-D8F7-4F1A-98EA-8D3B8B78F0D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5" w:rsidRDefault="007E1155" w:rsidP="00F033D8">
      <w:r>
        <w:separator/>
      </w:r>
    </w:p>
  </w:footnote>
  <w:footnote w:type="continuationSeparator" w:id="0">
    <w:p w:rsidR="007E1155" w:rsidRDefault="007E1155" w:rsidP="00F0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03684"/>
    <w:rsid w:val="00012820"/>
    <w:rsid w:val="00066B0C"/>
    <w:rsid w:val="000F7822"/>
    <w:rsid w:val="00133C66"/>
    <w:rsid w:val="00172554"/>
    <w:rsid w:val="001A5FBB"/>
    <w:rsid w:val="0022093A"/>
    <w:rsid w:val="002C584F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B0950"/>
    <w:rsid w:val="006D73B7"/>
    <w:rsid w:val="006E0B70"/>
    <w:rsid w:val="006E555E"/>
    <w:rsid w:val="006F09F3"/>
    <w:rsid w:val="006F77F2"/>
    <w:rsid w:val="00712BAF"/>
    <w:rsid w:val="0076118E"/>
    <w:rsid w:val="007A311F"/>
    <w:rsid w:val="007E1155"/>
    <w:rsid w:val="00844B71"/>
    <w:rsid w:val="00860E6B"/>
    <w:rsid w:val="00896A3A"/>
    <w:rsid w:val="008E29E1"/>
    <w:rsid w:val="008F3D71"/>
    <w:rsid w:val="00963474"/>
    <w:rsid w:val="009B737E"/>
    <w:rsid w:val="009C6DA6"/>
    <w:rsid w:val="00A21276"/>
    <w:rsid w:val="00A30AE0"/>
    <w:rsid w:val="00AD7497"/>
    <w:rsid w:val="00AE32E3"/>
    <w:rsid w:val="00AF096D"/>
    <w:rsid w:val="00B3379E"/>
    <w:rsid w:val="00B52C74"/>
    <w:rsid w:val="00B56D59"/>
    <w:rsid w:val="00BB66EE"/>
    <w:rsid w:val="00BF0F01"/>
    <w:rsid w:val="00C037C1"/>
    <w:rsid w:val="00C32882"/>
    <w:rsid w:val="00C47BA9"/>
    <w:rsid w:val="00CA3A0E"/>
    <w:rsid w:val="00CB1062"/>
    <w:rsid w:val="00D05147"/>
    <w:rsid w:val="00D406B7"/>
    <w:rsid w:val="00D53744"/>
    <w:rsid w:val="00DA1FA0"/>
    <w:rsid w:val="00E27B50"/>
    <w:rsid w:val="00E56868"/>
    <w:rsid w:val="00E60BAE"/>
    <w:rsid w:val="00EE34ED"/>
    <w:rsid w:val="00F033D8"/>
    <w:rsid w:val="00F27E81"/>
    <w:rsid w:val="00F45450"/>
    <w:rsid w:val="00F95236"/>
    <w:rsid w:val="00FA5C36"/>
    <w:rsid w:val="00FE20C2"/>
    <w:rsid w:val="00FF5CFF"/>
    <w:rsid w:val="00FF64F4"/>
    <w:rsid w:val="00FF7689"/>
    <w:rsid w:val="12FF7A1F"/>
    <w:rsid w:val="45A15C14"/>
    <w:rsid w:val="61F6331C"/>
    <w:rsid w:val="6531690D"/>
    <w:rsid w:val="780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4629-AEC5-469C-88D1-975B186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33</cp:revision>
  <dcterms:created xsi:type="dcterms:W3CDTF">2020-05-18T02:53:00Z</dcterms:created>
  <dcterms:modified xsi:type="dcterms:W3CDTF">2022-10-28T05:51:00Z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FD211C7C5B444F8AAF7F38EFD778C2F0</vt:lpwstr>
  </property>
</Properties>
</file>