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/>
          <w:color w:val="000000"/>
          <w:sz w:val="24"/>
        </w:rPr>
      </w:pPr>
      <w:r>
        <w:rPr>
          <w:rFonts w:hint="eastAsia" w:ascii="宋体"/>
          <w:color w:val="000000"/>
          <w:sz w:val="24"/>
        </w:rPr>
        <w:t>附件</w:t>
      </w:r>
      <w:r>
        <w:rPr>
          <w:rFonts w:hint="eastAsia" w:ascii="宋体"/>
          <w:color w:val="000000"/>
          <w:sz w:val="24"/>
          <w:lang w:val="en-US" w:eastAsia="zh-CN"/>
        </w:rPr>
        <w:t>2</w:t>
      </w:r>
      <w:r>
        <w:rPr>
          <w:rFonts w:ascii="宋体"/>
          <w:color w:val="000000"/>
          <w:sz w:val="24"/>
        </w:rPr>
        <w:t>：</w:t>
      </w:r>
    </w:p>
    <w:p>
      <w:pPr>
        <w:jc w:val="center"/>
        <w:rPr>
          <w:rFonts w:hint="eastAsia" w:ascii="宋体" w:cs="宋体"/>
          <w:b/>
          <w:sz w:val="32"/>
          <w:szCs w:val="32"/>
          <w:lang w:eastAsia="zh-CN"/>
        </w:rPr>
      </w:pPr>
      <w:r>
        <w:rPr>
          <w:rFonts w:hint="eastAsia" w:ascii="宋体" w:cs="宋体"/>
          <w:b/>
          <w:sz w:val="32"/>
          <w:szCs w:val="32"/>
        </w:rPr>
        <w:t>四川省体育彩票管理中心</w:t>
      </w:r>
      <w:r>
        <w:rPr>
          <w:rFonts w:hint="eastAsia" w:ascii="宋体" w:cs="宋体"/>
          <w:b/>
          <w:sz w:val="32"/>
          <w:szCs w:val="32"/>
          <w:lang w:eastAsia="zh-CN"/>
        </w:rPr>
        <w:t>德阳分中心</w:t>
      </w:r>
    </w:p>
    <w:p>
      <w:pPr>
        <w:jc w:val="center"/>
        <w:rPr>
          <w:rFonts w:ascii="仿宋" w:eastAsia="仿宋" w:cs="仿宋"/>
          <w:b/>
          <w:sz w:val="24"/>
        </w:rPr>
      </w:pPr>
      <w:r>
        <w:rPr>
          <w:rFonts w:hint="eastAsia" w:ascii="宋体" w:cs="宋体"/>
          <w:b/>
          <w:sz w:val="32"/>
          <w:szCs w:val="32"/>
          <w:lang w:eastAsia="zh-CN"/>
        </w:rPr>
        <w:t>2024年“责任同行 添彩奥运”责任彩票主题活动</w:t>
      </w:r>
      <w:r>
        <w:rPr>
          <w:rFonts w:hint="eastAsia" w:ascii="宋体" w:cs="宋体"/>
          <w:b/>
          <w:sz w:val="32"/>
          <w:szCs w:val="32"/>
        </w:rPr>
        <w:t>采购项目</w:t>
      </w:r>
    </w:p>
    <w:tbl>
      <w:tblPr>
        <w:tblStyle w:val="10"/>
        <w:tblpPr w:leftFromText="120" w:rightFromText="120" w:vertAnchor="text" w:horzAnchor="page" w:tblpX="768" w:tblpY="21"/>
        <w:tblOverlap w:val="never"/>
        <w:tblW w:w="108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3"/>
        <w:gridCol w:w="2757"/>
        <w:gridCol w:w="3142"/>
        <w:gridCol w:w="22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9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宋体" w:hAnsi="宋体" w:cs="Times New Roman"/>
                <w:b/>
                <w:color w:val="000000"/>
                <w:sz w:val="24"/>
              </w:rPr>
              <w:t>项目名称</w:t>
            </w:r>
          </w:p>
        </w:tc>
        <w:tc>
          <w:tcPr>
            <w:tcW w:w="8133" w:type="dxa"/>
            <w:gridSpan w:val="3"/>
            <w:shd w:val="clear" w:color="auto" w:fill="auto"/>
            <w:vAlign w:val="center"/>
          </w:tcPr>
          <w:p>
            <w:pPr>
              <w:rPr>
                <w:rFonts w:ascii="仿宋" w:eastAsia="仿宋" w:cs="仿宋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四川省体育彩票管理中心德阳分中心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lang w:eastAsia="zh-CN"/>
              </w:rPr>
              <w:t>2024年“责任同行 添彩奥运”责任彩票主题活动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采购项目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269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宋体" w:hAnsi="宋体" w:cs="Times New Roman"/>
                <w:b/>
                <w:color w:val="000000"/>
                <w:sz w:val="24"/>
              </w:rPr>
              <w:t>项目总预算（万元）</w:t>
            </w:r>
          </w:p>
        </w:tc>
        <w:tc>
          <w:tcPr>
            <w:tcW w:w="2757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eastAsia="仿宋" w:cs="仿宋"/>
                <w:color w:val="000000"/>
                <w:sz w:val="24"/>
                <w:lang w:val="en-US" w:eastAsia="zh-CN"/>
              </w:rPr>
              <w:t>8.9</w:t>
            </w:r>
          </w:p>
        </w:tc>
        <w:tc>
          <w:tcPr>
            <w:tcW w:w="314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宋体" w:hAnsi="宋体" w:cs="Times New Roman"/>
                <w:b/>
                <w:color w:val="000000"/>
                <w:sz w:val="24"/>
              </w:rPr>
              <w:t>项目最高限价（万元）</w:t>
            </w:r>
          </w:p>
        </w:tc>
        <w:tc>
          <w:tcPr>
            <w:tcW w:w="2234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eastAsia="仿宋" w:cs="仿宋"/>
                <w:color w:val="000000"/>
                <w:sz w:val="24"/>
                <w:lang w:val="en-US" w:eastAsia="zh-CN"/>
              </w:rPr>
              <w:t>8.9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69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宋体" w:hAnsi="宋体" w:cs="Times New Roman"/>
                <w:b/>
                <w:color w:val="000000"/>
                <w:sz w:val="24"/>
              </w:rPr>
              <w:t>采购方式</w:t>
            </w:r>
          </w:p>
        </w:tc>
        <w:tc>
          <w:tcPr>
            <w:tcW w:w="8133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" w:eastAsia="仿宋" w:cs="仿宋"/>
                <w:color w:val="000000"/>
                <w:sz w:val="24"/>
              </w:rPr>
            </w:pPr>
            <w:r>
              <w:rPr>
                <w:rFonts w:hint="eastAsia" w:ascii="仿宋" w:eastAsia="仿宋" w:cs="仿宋"/>
                <w:color w:val="000000"/>
                <w:sz w:val="24"/>
              </w:rPr>
              <w:t>低价中选（   ）     综合评分（ √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10826" w:type="dxa"/>
            <w:gridSpan w:val="4"/>
            <w:shd w:val="clear" w:color="auto" w:fill="auto"/>
          </w:tcPr>
          <w:p>
            <w:pPr>
              <w:snapToGrid w:val="0"/>
              <w:spacing w:line="400" w:lineRule="exact"/>
              <w:rPr>
                <w:rFonts w:hint="eastAsia" w:ascii="宋体" w:hAnsi="宋体" w:cs="Times New Roman"/>
                <w:b/>
                <w:color w:val="000000"/>
                <w:sz w:val="24"/>
              </w:rPr>
            </w:pPr>
            <w:r>
              <w:rPr>
                <w:rFonts w:hint="eastAsia" w:ascii="宋体" w:hAnsi="宋体" w:cs="Times New Roman"/>
                <w:b/>
                <w:color w:val="000000"/>
                <w:sz w:val="24"/>
              </w:rPr>
              <w:t>一、项目概述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textAlignment w:val="auto"/>
              <w:rPr>
                <w:rFonts w:ascii="仿宋" w:eastAsia="仿宋" w:cs="仿宋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为为深入践行责任彩票理念，维护购彩者权益，积极传递体彩“负责任、可信赖、高质量发展的国家公益彩票”品牌形象和“责任为先，公益公信为核心”的品牌价值观，现需通过比选方式确定四川省体育彩票管理中心德阳分中心2024年“责任同行 添彩奥运”责任彩票主题活动</w:t>
            </w:r>
            <w:r>
              <w:rPr>
                <w:rFonts w:hint="eastAsia" w:ascii="宋体" w:hAnsi="宋体" w:cs="Times New Roman"/>
                <w:color w:val="000000"/>
                <w:sz w:val="24"/>
                <w:lang w:eastAsia="zh-CN"/>
              </w:rPr>
              <w:t>服务商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</w:trPr>
        <w:tc>
          <w:tcPr>
            <w:tcW w:w="10826" w:type="dxa"/>
            <w:gridSpan w:val="4"/>
            <w:shd w:val="clear" w:color="auto" w:fill="auto"/>
          </w:tcPr>
          <w:p>
            <w:pPr>
              <w:snapToGrid w:val="0"/>
              <w:spacing w:line="400" w:lineRule="exact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二、采购项目的技术需求（项目技术及规格参数）</w:t>
            </w:r>
          </w:p>
          <w:p>
            <w:pPr>
              <w:numPr>
                <w:ilvl w:val="0"/>
                <w:numId w:val="1"/>
              </w:numPr>
              <w:snapToGrid w:val="0"/>
              <w:spacing w:line="400" w:lineRule="exact"/>
              <w:ind w:hanging="99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活动执行时间：</w:t>
            </w: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2024年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7</w:t>
            </w:r>
            <w:r>
              <w:rPr>
                <w:rFonts w:hint="eastAsia" w:ascii="宋体" w:hAnsi="宋体"/>
                <w:color w:val="000000"/>
                <w:sz w:val="24"/>
              </w:rPr>
              <w:t>月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26日</w:t>
            </w:r>
            <w:r>
              <w:rPr>
                <w:rFonts w:hint="eastAsia" w:ascii="宋体" w:hAnsi="宋体"/>
                <w:color w:val="000000"/>
                <w:sz w:val="24"/>
              </w:rPr>
              <w:t>（具体时间以实际执行为准）</w:t>
            </w: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，活动总时长不少于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4小时。</w:t>
            </w:r>
          </w:p>
          <w:p>
            <w:pPr>
              <w:numPr>
                <w:ilvl w:val="0"/>
                <w:numId w:val="1"/>
              </w:numPr>
              <w:snapToGrid w:val="0"/>
              <w:spacing w:line="400" w:lineRule="exact"/>
              <w:ind w:hanging="99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活动开展地点：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德阳市主城区人流量较大的大型广场/商业综合体</w:t>
            </w:r>
            <w:r>
              <w:rPr>
                <w:rFonts w:hint="eastAsia" w:ascii="宋体" w:hAnsi="宋体" w:cs="Times New Roman"/>
                <w:color w:val="000000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cs="Times New Roman"/>
                <w:color w:val="000000"/>
                <w:sz w:val="24"/>
                <w:lang w:eastAsia="zh-CN"/>
              </w:rPr>
              <w:t>处，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开展2024年“责任同</w:t>
            </w:r>
          </w:p>
          <w:p>
            <w:pPr>
              <w:numPr>
                <w:ilvl w:val="0"/>
                <w:numId w:val="0"/>
              </w:numPr>
              <w:snapToGrid w:val="0"/>
              <w:spacing w:line="4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行 添彩奥运”责任彩票主题活动</w:t>
            </w:r>
          </w:p>
          <w:p>
            <w:pPr>
              <w:numPr>
                <w:ilvl w:val="0"/>
                <w:numId w:val="1"/>
              </w:numPr>
              <w:snapToGrid w:val="0"/>
              <w:spacing w:line="400" w:lineRule="exact"/>
              <w:ind w:hanging="99"/>
              <w:rPr>
                <w:rFonts w:hint="eastAsia" w:ascii="宋体" w:hAnsi="宋体" w:eastAsia="宋体" w:cs="Times New Roman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 w:val="24"/>
                <w:lang w:eastAsia="zh-CN"/>
              </w:rPr>
              <w:t>活动内容及形式：</w:t>
            </w:r>
            <w:r>
              <w:rPr>
                <w:rFonts w:hint="eastAsia" w:ascii="宋体" w:hAnsi="宋体" w:cs="Times New Roman"/>
                <w:color w:val="000000"/>
                <w:sz w:val="24"/>
                <w:lang w:eastAsia="zh-CN"/>
              </w:rPr>
              <w:t>服务商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lang w:eastAsia="zh-CN"/>
              </w:rPr>
              <w:t>应具有合法经营资质，活动以责任彩票宣讲与责任彩票闯关挑战游戏</w:t>
            </w:r>
          </w:p>
          <w:p>
            <w:pPr>
              <w:numPr>
                <w:ilvl w:val="0"/>
                <w:numId w:val="0"/>
              </w:numPr>
              <w:snapToGrid w:val="0"/>
              <w:spacing w:line="400" w:lineRule="exact"/>
              <w:rPr>
                <w:rFonts w:hint="eastAsia" w:ascii="宋体" w:hAnsi="宋体" w:eastAsia="宋体" w:cs="Times New Roman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lang w:eastAsia="zh-CN"/>
              </w:rPr>
              <w:t>相结合的形式呈现，通过责任彩票沙龙、体彩社会责任报告解读、理性购彩知识闯关、购彩相关法律法规知识闯关等环节，让群众充分了解责任彩票具体内容。活动</w:t>
            </w:r>
            <w:r>
              <w:rPr>
                <w:rFonts w:hint="eastAsia" w:ascii="宋体" w:hAnsi="宋体" w:cs="Times New Roman"/>
                <w:color w:val="000000"/>
                <w:sz w:val="24"/>
                <w:lang w:eastAsia="zh-CN"/>
              </w:rPr>
              <w:t>须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lang w:eastAsia="zh-CN"/>
              </w:rPr>
              <w:t>将体彩的运动、健康、公益形象与城市潮流特点、运动快闪与2024年巴黎奥运等热门元素相结合，在对外呈现上轻松、活泼、年轻化，在责任彩票内容展示上联动公安部门、网信部门、法律行业协会、心理咨询等，通过非法彩票危害宣讲、相关案例展示、非法彩票种类识别、防范网络诈骗、非法彩票法律风险讲解、购彩心理咨询、倡导理性购彩等角度开展形式丰富的宣讲及游戏闯关</w:t>
            </w:r>
          </w:p>
          <w:p>
            <w:pPr>
              <w:numPr>
                <w:ilvl w:val="0"/>
                <w:numId w:val="1"/>
              </w:numPr>
              <w:snapToGrid w:val="0"/>
              <w:spacing w:line="400" w:lineRule="exact"/>
              <w:ind w:hanging="99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场地搭建需求</w:t>
            </w:r>
          </w:p>
          <w:p>
            <w:pPr>
              <w:numPr>
                <w:ilvl w:val="1"/>
                <w:numId w:val="1"/>
              </w:numPr>
              <w:snapToGrid w:val="0"/>
              <w:spacing w:line="400" w:lineRule="exact"/>
              <w:ind w:left="0" w:leftChars="0" w:firstLine="462" w:firstLineChars="0"/>
              <w:rPr>
                <w:rFonts w:hint="eastAsia" w:ascii="宋体" w:hAnsi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服务商须在德阳市主城区人流量较大的大型广场/商业综合体开展2024年“责任同行 添彩奥运”责任彩票主题活动，活动区域总面积不低于200㎡，现场设置责任彩票展示专区、街头闯关游戏互动区、法律公益咨询区、心理咨询区、品牌宣传打卡区。服务商提供的活动场地需由采购方确认后使用，同时服务商须完成包括但不限于场地租赁、场地审批、电力保障及场地搭建和场地清理等事项。</w:t>
            </w:r>
          </w:p>
          <w:p>
            <w:pPr>
              <w:numPr>
                <w:ilvl w:val="1"/>
                <w:numId w:val="1"/>
              </w:numPr>
              <w:snapToGrid w:val="0"/>
              <w:spacing w:line="400" w:lineRule="exact"/>
              <w:ind w:left="0" w:leftChars="0" w:firstLine="462" w:firstLineChars="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主题背景LED不少于20平米、舞台不少于30平米、地贴不少于30平米、宣传展架不少于10个、配备音响、话筒等</w:t>
            </w: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。</w:t>
            </w:r>
          </w:p>
          <w:p>
            <w:pPr>
              <w:numPr>
                <w:ilvl w:val="1"/>
                <w:numId w:val="1"/>
              </w:numPr>
              <w:snapToGrid w:val="0"/>
              <w:spacing w:line="400" w:lineRule="exact"/>
              <w:ind w:left="0" w:leftChars="0" w:firstLine="462" w:firstLineChars="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责任彩票展示区不少于50平米、街头闯关游戏互动区不少于80平米、法律公益咨询区不少于10平米、心理咨询区不少于10平米、体彩品牌宣传打卡区不少于50平米。</w:t>
            </w:r>
          </w:p>
          <w:p>
            <w:pPr>
              <w:numPr>
                <w:ilvl w:val="0"/>
                <w:numId w:val="1"/>
              </w:numPr>
              <w:snapToGrid w:val="0"/>
              <w:spacing w:line="400" w:lineRule="exact"/>
              <w:ind w:hanging="99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活动执行需求</w:t>
            </w:r>
          </w:p>
          <w:p>
            <w:pPr>
              <w:numPr>
                <w:ilvl w:val="1"/>
                <w:numId w:val="1"/>
              </w:numPr>
              <w:snapToGrid w:val="0"/>
              <w:spacing w:line="400" w:lineRule="exact"/>
              <w:ind w:left="37" w:firstLine="383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由服务商负责活动整体策划、组织与实施，包括但不限于活动场地落实、广宣物料制作及布置、活动流程设计、现场工作人员配置，以及负责活动过程中所有安全责任、突发事件及舆情危机处理等。</w:t>
            </w:r>
          </w:p>
          <w:p>
            <w:pPr>
              <w:numPr>
                <w:ilvl w:val="1"/>
                <w:numId w:val="1"/>
              </w:numPr>
              <w:snapToGrid w:val="0"/>
              <w:spacing w:line="400" w:lineRule="exact"/>
              <w:ind w:left="37" w:firstLine="383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服务商</w:t>
            </w:r>
            <w:r>
              <w:rPr>
                <w:rFonts w:hint="eastAsia" w:ascii="宋体" w:hAnsi="宋体"/>
                <w:color w:val="000000"/>
                <w:sz w:val="24"/>
              </w:rPr>
              <w:t>应根据本次活动主题，提供互动游戏项目设置及规则制定</w:t>
            </w: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并提供游戏道具</w:t>
            </w:r>
            <w:r>
              <w:rPr>
                <w:rFonts w:hint="eastAsia" w:ascii="宋体" w:hAnsi="宋体"/>
                <w:color w:val="000000"/>
                <w:sz w:val="24"/>
              </w:rPr>
              <w:t>，</w:t>
            </w: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互动及问答游戏不少于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两个，</w:t>
            </w: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包括但不限于责任彩票相关知识闯关、彩票相关法律法规知识闯关挑战，用户</w:t>
            </w:r>
            <w:r>
              <w:rPr>
                <w:rFonts w:hint="eastAsia" w:ascii="宋体" w:hAnsi="宋体"/>
                <w:color w:val="000000"/>
                <w:sz w:val="24"/>
              </w:rPr>
              <w:t>在活动期间通过参与互动游戏领取互动礼品。</w:t>
            </w:r>
          </w:p>
          <w:p>
            <w:pPr>
              <w:numPr>
                <w:ilvl w:val="1"/>
                <w:numId w:val="1"/>
              </w:numPr>
              <w:snapToGrid w:val="0"/>
              <w:spacing w:line="400" w:lineRule="exact"/>
              <w:ind w:left="37" w:firstLine="383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服务商</w:t>
            </w:r>
            <w:r>
              <w:rPr>
                <w:rFonts w:hint="eastAsia" w:ascii="宋体" w:hAnsi="宋体"/>
                <w:color w:val="000000"/>
                <w:sz w:val="24"/>
              </w:rPr>
              <w:t>应根据所设置互动游戏及规则，提供充足数量的活动用品支撑，游戏道具、互动问答及</w:t>
            </w: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游戏闯关挑战互动</w:t>
            </w:r>
            <w:r>
              <w:rPr>
                <w:rFonts w:hint="eastAsia" w:ascii="宋体" w:hAnsi="宋体"/>
                <w:color w:val="000000"/>
                <w:sz w:val="24"/>
              </w:rPr>
              <w:t>用品等不少于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500</w:t>
            </w:r>
            <w:r>
              <w:rPr>
                <w:rFonts w:hint="eastAsia" w:ascii="宋体" w:hAnsi="宋体"/>
                <w:color w:val="000000"/>
                <w:sz w:val="24"/>
              </w:rPr>
              <w:t>份</w:t>
            </w: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。</w:t>
            </w:r>
          </w:p>
          <w:p>
            <w:pPr>
              <w:numPr>
                <w:ilvl w:val="1"/>
                <w:numId w:val="1"/>
              </w:numPr>
              <w:snapToGrid w:val="0"/>
              <w:spacing w:line="400" w:lineRule="exact"/>
              <w:ind w:left="37" w:firstLine="383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活动当天，</w:t>
            </w: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服务商</w:t>
            </w:r>
            <w:r>
              <w:rPr>
                <w:rFonts w:hint="eastAsia" w:ascii="宋体" w:hAnsi="宋体"/>
                <w:color w:val="000000"/>
                <w:sz w:val="24"/>
              </w:rPr>
              <w:t>在主题活动时间段内应不间断提供主持、表演、互动等服务，演艺节目数量不少于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color w:val="000000"/>
                <w:sz w:val="24"/>
              </w:rPr>
              <w:t>个，</w:t>
            </w: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包括但不限于歌舞类表演、小丑表演、魔术表演，演艺人员共计不少于10人。</w:t>
            </w:r>
            <w:r>
              <w:rPr>
                <w:rFonts w:hint="eastAsia" w:ascii="宋体" w:hAnsi="宋体"/>
                <w:color w:val="000000"/>
                <w:sz w:val="24"/>
              </w:rPr>
              <w:t>具体活动开始时间应经采购方审批同意后确定。</w:t>
            </w:r>
          </w:p>
          <w:p>
            <w:pPr>
              <w:numPr>
                <w:ilvl w:val="1"/>
                <w:numId w:val="1"/>
              </w:numPr>
              <w:snapToGrid w:val="0"/>
              <w:spacing w:line="400" w:lineRule="exact"/>
              <w:ind w:left="37" w:firstLine="383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服务商</w:t>
            </w:r>
            <w:r>
              <w:rPr>
                <w:rFonts w:hint="eastAsia" w:ascii="宋体" w:hAnsi="宋体"/>
                <w:color w:val="000000"/>
                <w:sz w:val="24"/>
              </w:rPr>
              <w:t>应负责活动现场执行，包含音箱、灯光、功放、话筒等必要设备，以及主持、现场秩序安全维护等必要人员</w:t>
            </w: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。服务商须整合相关资源，邀请法律咨询专业人员、心理咨询专家、公安宣讲嘉宾各不少于1人，进行责任彩票主题活动沙龙宣讲。活动主持不少于1人，现场执行、现场安保、现场秩序维护、医疗保障人员共不少于8人。</w:t>
            </w:r>
          </w:p>
          <w:p>
            <w:pPr>
              <w:numPr>
                <w:ilvl w:val="1"/>
                <w:numId w:val="1"/>
              </w:numPr>
              <w:snapToGrid w:val="0"/>
              <w:spacing w:line="400" w:lineRule="exact"/>
              <w:ind w:left="37" w:firstLine="383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服务商</w:t>
            </w:r>
            <w:r>
              <w:rPr>
                <w:rFonts w:hint="eastAsia" w:ascii="宋体" w:hAnsi="宋体"/>
                <w:color w:val="000000"/>
                <w:sz w:val="24"/>
              </w:rPr>
              <w:t>须在活动过程中提供线上图片直播服务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1场</w:t>
            </w: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，</w:t>
            </w:r>
            <w:r>
              <w:rPr>
                <w:rFonts w:hint="eastAsia" w:ascii="宋体" w:hAnsi="宋体"/>
                <w:color w:val="000000"/>
                <w:sz w:val="24"/>
              </w:rPr>
              <w:t>以及</w:t>
            </w: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活动后</w:t>
            </w:r>
            <w:r>
              <w:rPr>
                <w:rFonts w:hint="eastAsia" w:ascii="宋体" w:hAnsi="宋体"/>
                <w:color w:val="000000"/>
                <w:sz w:val="24"/>
              </w:rPr>
              <w:t>不少于6个新媒体平台宣传发布</w:t>
            </w: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。</w:t>
            </w:r>
          </w:p>
          <w:p>
            <w:pPr>
              <w:numPr>
                <w:ilvl w:val="0"/>
                <w:numId w:val="1"/>
              </w:numPr>
              <w:snapToGrid w:val="0"/>
              <w:spacing w:line="400" w:lineRule="exact"/>
              <w:ind w:left="0" w:firstLine="321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其它需求</w:t>
            </w:r>
          </w:p>
          <w:p>
            <w:pPr>
              <w:widowControl/>
              <w:spacing w:line="360" w:lineRule="auto"/>
              <w:ind w:firstLine="480" w:firstLineChars="200"/>
              <w:jc w:val="left"/>
              <w:rPr>
                <w:rFonts w:hint="eastAsia" w:ascii="宋体" w:hAnsi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1、服务商应提供本项目具体实施方案，方案至少应包含活动执行场地、活动平面图、区域规划图、搭建效果图、人员配置清单、互动游戏设置、演出节目规划以及活动安全预案等。</w:t>
            </w:r>
          </w:p>
          <w:p>
            <w:pPr>
              <w:widowControl/>
              <w:spacing w:line="360" w:lineRule="auto"/>
              <w:ind w:firstLine="480" w:firstLineChars="200"/>
              <w:jc w:val="left"/>
              <w:rPr>
                <w:rFonts w:hint="eastAsia" w:ascii="宋体" w:hAnsi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2、服务商应根据采购方活动需求提供宣传画面设计服务，部份素材可由采购方提供，服务商在制作宣传画面中所使用的体彩相关元素应符合体彩VI规范，宣传画面中不得包含非采购方的其它任何内容且符合相关法律法规，不得侵犯任何第三方权益。服务商至少有一名设计人员能够熟练使用Illustrator、Photoshop、 CorelDraw等软件进行平面设计，能够根据采购方需求，在征得采购方同意后，对设计稿尺寸、画面内容等进行设计。</w:t>
            </w:r>
          </w:p>
          <w:p>
            <w:pPr>
              <w:widowControl/>
              <w:spacing w:line="360" w:lineRule="auto"/>
              <w:ind w:firstLine="480" w:firstLineChars="200"/>
              <w:jc w:val="left"/>
              <w:rPr>
                <w:rFonts w:hint="eastAsia" w:ascii="宋体" w:hAnsi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3、所有宣传类平面设计需通过采购方审核通过后才能进行发布或制作；服务商平面设计所使用的素材和整体画面不能侵权。采购方支付费用后，相关设计知识产权归采购方所有。</w:t>
            </w:r>
          </w:p>
          <w:p>
            <w:pPr>
              <w:widowControl/>
              <w:spacing w:line="360" w:lineRule="auto"/>
              <w:ind w:firstLine="480" w:firstLineChars="200"/>
              <w:jc w:val="left"/>
              <w:rPr>
                <w:rFonts w:hint="eastAsia" w:ascii="宋体" w:hAnsi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4、活动执行过程中所有安全相关事宜均由服务商全权负责，若在活动执行过程中出现安全事故，采购方不承担任何连带责任。</w:t>
            </w:r>
          </w:p>
          <w:p>
            <w:pPr>
              <w:widowControl/>
              <w:spacing w:line="360" w:lineRule="auto"/>
              <w:ind w:firstLine="480" w:firstLineChars="200"/>
              <w:jc w:val="left"/>
              <w:rPr>
                <w:rFonts w:hint="eastAsia" w:ascii="宋体" w:hAnsi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5、服务商须根据评审标准中所列要求及说明提供相应文件或佐证材料。</w:t>
            </w:r>
          </w:p>
          <w:p>
            <w:pPr>
              <w:widowControl/>
              <w:spacing w:line="360" w:lineRule="auto"/>
              <w:ind w:firstLine="480" w:firstLineChars="200"/>
              <w:jc w:val="left"/>
              <w:rPr>
                <w:rFonts w:ascii="仿宋" w:eastAsia="仿宋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本项目报价应是最终用户验收合格后的总价，包括场地租赁、场地审批、活动策划、平面设计、宣传发布、货物运输、保险、代理、安装调试、培训、税费、售后和参与项目比选产生的其它一切费用，除本报价外，采购方不再支付其它任何费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0826" w:type="dxa"/>
            <w:gridSpan w:val="4"/>
            <w:shd w:val="clear" w:color="auto" w:fill="auto"/>
            <w:vAlign w:val="center"/>
          </w:tcPr>
          <w:p>
            <w:pPr>
              <w:snapToGrid w:val="0"/>
              <w:spacing w:line="400" w:lineRule="exact"/>
              <w:ind w:firstLine="241" w:firstLineChars="100"/>
              <w:jc w:val="left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三、服务需求：</w:t>
            </w:r>
          </w:p>
          <w:p>
            <w:pPr>
              <w:numPr>
                <w:ilvl w:val="0"/>
                <w:numId w:val="2"/>
              </w:numPr>
              <w:adjustRightInd w:val="0"/>
              <w:snapToGrid w:val="0"/>
              <w:spacing w:line="400" w:lineRule="exact"/>
              <w:ind w:left="0" w:firstLine="321"/>
              <w:outlineLvl w:val="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服务商</w:t>
            </w:r>
            <w:r>
              <w:rPr>
                <w:rFonts w:hint="eastAsia" w:ascii="宋体" w:hAnsi="宋体"/>
                <w:color w:val="000000"/>
                <w:sz w:val="24"/>
              </w:rPr>
              <w:t>应取得与项目对应的执行能力，并具有行业优势；</w:t>
            </w:r>
          </w:p>
          <w:p>
            <w:pPr>
              <w:widowControl/>
              <w:numPr>
                <w:ilvl w:val="0"/>
                <w:numId w:val="2"/>
              </w:numPr>
              <w:adjustRightInd w:val="0"/>
              <w:snapToGrid w:val="0"/>
              <w:spacing w:line="400" w:lineRule="exact"/>
              <w:ind w:left="0" w:firstLine="321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为保证本项目顺利开展，不允许中选</w:t>
            </w: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服务商</w:t>
            </w:r>
            <w:r>
              <w:rPr>
                <w:rFonts w:hint="eastAsia" w:ascii="宋体" w:hAnsi="宋体"/>
                <w:color w:val="000000"/>
                <w:sz w:val="24"/>
              </w:rPr>
              <w:t>进行分包实施；</w:t>
            </w:r>
          </w:p>
          <w:p>
            <w:pPr>
              <w:numPr>
                <w:ilvl w:val="0"/>
                <w:numId w:val="2"/>
              </w:numPr>
              <w:snapToGrid w:val="0"/>
              <w:spacing w:line="400" w:lineRule="exact"/>
              <w:ind w:left="37" w:firstLine="284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为建立与采购方顺畅的沟通机制，</w:t>
            </w: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服务商</w:t>
            </w:r>
            <w:r>
              <w:rPr>
                <w:rFonts w:hint="eastAsia" w:ascii="宋体" w:hAnsi="宋体"/>
                <w:color w:val="000000"/>
                <w:sz w:val="24"/>
              </w:rPr>
              <w:t>需明确由专人负责主动与采购方进行沟通，建立良好的沟通机制；合同签订前，</w:t>
            </w: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服务商</w:t>
            </w:r>
            <w:r>
              <w:rPr>
                <w:rFonts w:hint="eastAsia" w:ascii="宋体" w:hAnsi="宋体"/>
                <w:color w:val="000000"/>
                <w:sz w:val="24"/>
              </w:rPr>
              <w:t>需授权一位员工，与采购方对接，经办具体相关事宜。</w:t>
            </w:r>
          </w:p>
          <w:p>
            <w:pPr>
              <w:numPr>
                <w:ilvl w:val="0"/>
                <w:numId w:val="2"/>
              </w:numPr>
              <w:snapToGrid w:val="0"/>
              <w:spacing w:line="400" w:lineRule="exact"/>
              <w:ind w:left="0" w:firstLine="321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合同期内，若发现</w:t>
            </w: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服务商</w:t>
            </w:r>
            <w:r>
              <w:rPr>
                <w:rFonts w:hint="eastAsia" w:ascii="宋体" w:hAnsi="宋体"/>
                <w:color w:val="000000"/>
                <w:sz w:val="24"/>
              </w:rPr>
              <w:t>不能达到或不能完全履行承诺，采购方有权终止合同，前期造成的相关损失由</w:t>
            </w: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服务商</w:t>
            </w:r>
            <w:r>
              <w:rPr>
                <w:rFonts w:hint="eastAsia" w:ascii="宋体" w:hAnsi="宋体"/>
                <w:color w:val="000000"/>
                <w:sz w:val="24"/>
              </w:rPr>
              <w:t>承担。</w:t>
            </w:r>
          </w:p>
          <w:p>
            <w:pPr>
              <w:numPr>
                <w:ilvl w:val="0"/>
                <w:numId w:val="2"/>
              </w:numPr>
              <w:snapToGrid w:val="0"/>
              <w:spacing w:line="400" w:lineRule="exact"/>
              <w:ind w:left="0" w:firstLine="321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根据采购方需求，服务商在工作日2个小时内给予回应。非工作日4个小时内给予回应。</w:t>
            </w:r>
          </w:p>
          <w:p>
            <w:pPr>
              <w:numPr>
                <w:ilvl w:val="0"/>
                <w:numId w:val="2"/>
              </w:numPr>
              <w:snapToGrid w:val="0"/>
              <w:spacing w:line="400" w:lineRule="exact"/>
              <w:ind w:left="0" w:firstLine="321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若因突发状况导致无法执行，服务商需1个工作日内提供书面说明材料，并在取得采购方同意后进行相应调整。</w:t>
            </w:r>
          </w:p>
          <w:p>
            <w:pPr>
              <w:spacing w:line="360" w:lineRule="auto"/>
              <w:ind w:firstLine="480" w:firstLineChars="200"/>
              <w:rPr>
                <w:rFonts w:ascii="仿宋" w:eastAsia="仿宋" w:cs="仿宋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所有服务执行完毕，合同履约完成后，</w:t>
            </w: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服务商</w:t>
            </w:r>
            <w:r>
              <w:rPr>
                <w:rFonts w:hint="eastAsia" w:ascii="宋体" w:hAnsi="宋体"/>
                <w:color w:val="000000"/>
                <w:sz w:val="24"/>
              </w:rPr>
              <w:t>应提供纸质结项报告，包括并不限于合同承诺的服务、照片等相关资料。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10826" w:type="dxa"/>
            <w:gridSpan w:val="4"/>
            <w:vAlign w:val="center"/>
          </w:tcPr>
          <w:p>
            <w:pPr>
              <w:snapToGrid w:val="0"/>
              <w:spacing w:line="400" w:lineRule="exact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四</w:t>
            </w:r>
            <w:r>
              <w:rPr>
                <w:rFonts w:ascii="宋体" w:hAnsi="宋体"/>
                <w:b/>
                <w:bCs/>
                <w:color w:val="000000"/>
                <w:sz w:val="24"/>
              </w:rPr>
              <w:t>、售后服务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及付款方式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319" w:firstLineChars="133"/>
              <w:jc w:val="left"/>
              <w:textAlignment w:val="auto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1、售后服务要求：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-105" w:leftChars="-50" w:firstLine="662" w:firstLineChars="276"/>
              <w:jc w:val="left"/>
              <w:textAlignment w:val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服务商须在活动后</w:t>
            </w:r>
            <w:r>
              <w:rPr>
                <w:rFonts w:hint="eastAsia" w:ascii="宋体" w:hAnsi="宋体"/>
                <w:color w:val="000000"/>
                <w:sz w:val="24"/>
              </w:rPr>
              <w:t>提供不少于20张活动精彩照片</w:t>
            </w: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，</w:t>
            </w:r>
            <w:r>
              <w:rPr>
                <w:rFonts w:hint="eastAsia" w:ascii="宋体" w:hAnsi="宋体"/>
                <w:color w:val="000000"/>
                <w:sz w:val="24"/>
              </w:rPr>
              <w:t>所有照片</w:t>
            </w: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、宣传发布</w:t>
            </w:r>
            <w:r>
              <w:rPr>
                <w:rFonts w:hint="eastAsia" w:ascii="宋体" w:hAnsi="宋体"/>
                <w:color w:val="000000"/>
                <w:sz w:val="24"/>
              </w:rPr>
              <w:t>内容等须刻录光盘交采购方。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319" w:firstLineChars="133"/>
              <w:jc w:val="left"/>
              <w:textAlignment w:val="auto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2、服务期和付款方式：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602" w:firstLineChars="251"/>
              <w:jc w:val="left"/>
              <w:textAlignment w:val="auto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2.1服务期:服务期限至本次项目实施完毕截止</w:t>
            </w:r>
            <w:r>
              <w:rPr>
                <w:rFonts w:ascii="宋体" w:hAnsi="宋体"/>
                <w:color w:val="000000"/>
                <w:sz w:val="24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602" w:firstLineChars="251"/>
              <w:jc w:val="left"/>
              <w:textAlignment w:val="auto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2.2付款方式：先服务后付款。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firstLine="480" w:firstLineChars="200"/>
              <w:jc w:val="left"/>
              <w:textAlignment w:val="auto"/>
              <w:rPr>
                <w:rFonts w:hint="eastAsia" w:ascii="仿宋" w:eastAsia="仿宋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本项目实施截止，并验收合格后，由</w:t>
            </w: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服务商</w:t>
            </w:r>
            <w:r>
              <w:rPr>
                <w:rFonts w:hint="eastAsia" w:ascii="宋体" w:hAnsi="宋体"/>
                <w:color w:val="000000"/>
                <w:sz w:val="24"/>
              </w:rPr>
              <w:t>提供服务的清单、金额，双方确认无误后，</w:t>
            </w: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服务商</w:t>
            </w:r>
            <w:r>
              <w:rPr>
                <w:rFonts w:hint="eastAsia" w:ascii="宋体" w:hAnsi="宋体"/>
                <w:color w:val="000000"/>
                <w:sz w:val="24"/>
              </w:rPr>
              <w:t>将正规有效完整的增值税普通发票、结项报告等其他必要资料一并送至采购方，采购方确认无误后一次性转账支付。</w:t>
            </w:r>
          </w:p>
        </w:tc>
      </w:tr>
    </w:tbl>
    <w:p>
      <w:pPr>
        <w:jc w:val="center"/>
        <w:rPr>
          <w:rFonts w:ascii="仿宋" w:eastAsia="仿宋" w:cs="仿宋"/>
          <w:b/>
          <w:sz w:val="24"/>
        </w:rPr>
      </w:pPr>
    </w:p>
    <w:p>
      <w:pPr>
        <w:widowControl/>
        <w:snapToGrid w:val="0"/>
        <w:spacing w:line="400" w:lineRule="exact"/>
        <w:jc w:val="center"/>
        <w:rPr>
          <w:rFonts w:hint="eastAsia" w:ascii="宋体" w:hAnsi="宋体"/>
          <w:b/>
          <w:color w:val="000000"/>
          <w:sz w:val="40"/>
          <w:szCs w:val="40"/>
          <w:lang w:eastAsia="zh-CN"/>
        </w:rPr>
      </w:pPr>
    </w:p>
    <w:p>
      <w:pPr>
        <w:widowControl/>
        <w:snapToGrid w:val="0"/>
        <w:spacing w:line="400" w:lineRule="exact"/>
        <w:jc w:val="center"/>
        <w:rPr>
          <w:rFonts w:hint="eastAsia" w:ascii="宋体" w:hAnsi="宋体"/>
          <w:b/>
          <w:color w:val="000000"/>
          <w:sz w:val="40"/>
          <w:szCs w:val="40"/>
          <w:lang w:eastAsia="zh-CN"/>
        </w:rPr>
      </w:pPr>
    </w:p>
    <w:p>
      <w:pPr>
        <w:widowControl/>
        <w:snapToGrid w:val="0"/>
        <w:spacing w:line="400" w:lineRule="exact"/>
        <w:jc w:val="center"/>
        <w:rPr>
          <w:rFonts w:hint="eastAsia" w:ascii="宋体" w:hAnsi="宋体"/>
          <w:b/>
          <w:color w:val="000000"/>
          <w:sz w:val="40"/>
          <w:szCs w:val="40"/>
          <w:lang w:eastAsia="zh-CN"/>
        </w:rPr>
      </w:pPr>
    </w:p>
    <w:p>
      <w:pPr>
        <w:widowControl/>
        <w:snapToGrid w:val="0"/>
        <w:spacing w:line="400" w:lineRule="exact"/>
        <w:jc w:val="center"/>
        <w:rPr>
          <w:rFonts w:hint="eastAsia" w:ascii="宋体" w:hAnsi="宋体"/>
          <w:b/>
          <w:color w:val="000000"/>
          <w:sz w:val="40"/>
          <w:szCs w:val="40"/>
          <w:lang w:eastAsia="zh-CN"/>
        </w:rPr>
      </w:pPr>
    </w:p>
    <w:p>
      <w:pPr>
        <w:widowControl/>
        <w:snapToGrid w:val="0"/>
        <w:spacing w:line="400" w:lineRule="exact"/>
        <w:jc w:val="center"/>
        <w:rPr>
          <w:rFonts w:hint="eastAsia" w:ascii="宋体" w:hAnsi="宋体"/>
          <w:b/>
          <w:color w:val="000000"/>
          <w:sz w:val="40"/>
          <w:szCs w:val="40"/>
          <w:lang w:eastAsia="zh-CN"/>
        </w:rPr>
      </w:pPr>
    </w:p>
    <w:p>
      <w:pPr>
        <w:widowControl/>
        <w:snapToGrid w:val="0"/>
        <w:spacing w:line="400" w:lineRule="exact"/>
        <w:jc w:val="center"/>
        <w:rPr>
          <w:rFonts w:hint="eastAsia" w:ascii="宋体" w:hAnsi="宋体"/>
          <w:b/>
          <w:color w:val="000000"/>
          <w:sz w:val="40"/>
          <w:szCs w:val="40"/>
          <w:lang w:eastAsia="zh-CN"/>
        </w:rPr>
      </w:pPr>
    </w:p>
    <w:p>
      <w:pPr>
        <w:widowControl/>
        <w:snapToGrid w:val="0"/>
        <w:spacing w:line="400" w:lineRule="exact"/>
        <w:jc w:val="center"/>
        <w:rPr>
          <w:rFonts w:hint="eastAsia" w:ascii="宋体" w:hAnsi="宋体"/>
          <w:b/>
          <w:color w:val="000000"/>
          <w:sz w:val="40"/>
          <w:szCs w:val="40"/>
          <w:lang w:eastAsia="zh-CN"/>
        </w:rPr>
      </w:pPr>
    </w:p>
    <w:p>
      <w:pPr>
        <w:widowControl/>
        <w:snapToGrid w:val="0"/>
        <w:spacing w:line="400" w:lineRule="exact"/>
        <w:jc w:val="center"/>
        <w:rPr>
          <w:rFonts w:hint="eastAsia" w:ascii="宋体" w:hAnsi="宋体"/>
          <w:b/>
          <w:color w:val="000000"/>
          <w:sz w:val="40"/>
          <w:szCs w:val="40"/>
          <w:lang w:eastAsia="zh-CN"/>
        </w:rPr>
      </w:pPr>
    </w:p>
    <w:p>
      <w:pPr>
        <w:widowControl/>
        <w:snapToGrid w:val="0"/>
        <w:spacing w:line="400" w:lineRule="exact"/>
        <w:jc w:val="center"/>
        <w:rPr>
          <w:rFonts w:hint="eastAsia" w:ascii="宋体" w:hAnsi="宋体"/>
          <w:b/>
          <w:color w:val="000000"/>
          <w:sz w:val="40"/>
          <w:szCs w:val="40"/>
          <w:lang w:eastAsia="zh-CN"/>
        </w:rPr>
      </w:pPr>
    </w:p>
    <w:p>
      <w:pPr>
        <w:widowControl/>
        <w:snapToGrid w:val="0"/>
        <w:spacing w:line="400" w:lineRule="exact"/>
        <w:jc w:val="center"/>
        <w:rPr>
          <w:rFonts w:hint="eastAsia" w:ascii="宋体" w:hAnsi="宋体"/>
          <w:b/>
          <w:color w:val="000000"/>
          <w:sz w:val="40"/>
          <w:szCs w:val="40"/>
          <w:lang w:eastAsia="zh-CN"/>
        </w:rPr>
      </w:pPr>
    </w:p>
    <w:p>
      <w:pPr>
        <w:widowControl/>
        <w:snapToGrid w:val="0"/>
        <w:spacing w:line="400" w:lineRule="exact"/>
        <w:jc w:val="center"/>
        <w:rPr>
          <w:rFonts w:hint="eastAsia" w:ascii="宋体" w:hAnsi="宋体"/>
          <w:b/>
          <w:color w:val="000000"/>
          <w:sz w:val="40"/>
          <w:szCs w:val="40"/>
          <w:lang w:eastAsia="zh-CN"/>
        </w:rPr>
      </w:pPr>
    </w:p>
    <w:p>
      <w:pPr>
        <w:widowControl/>
        <w:snapToGrid w:val="0"/>
        <w:spacing w:line="400" w:lineRule="exact"/>
        <w:jc w:val="center"/>
        <w:rPr>
          <w:rFonts w:hint="eastAsia" w:ascii="宋体" w:hAnsi="宋体"/>
          <w:b/>
          <w:color w:val="000000"/>
          <w:sz w:val="40"/>
          <w:szCs w:val="40"/>
          <w:lang w:eastAsia="zh-CN"/>
        </w:rPr>
      </w:pPr>
    </w:p>
    <w:p>
      <w:pPr>
        <w:widowControl/>
        <w:snapToGrid w:val="0"/>
        <w:spacing w:line="400" w:lineRule="exact"/>
        <w:jc w:val="center"/>
        <w:rPr>
          <w:rFonts w:hint="eastAsia" w:ascii="宋体" w:hAnsi="宋体"/>
          <w:b/>
          <w:color w:val="000000"/>
          <w:sz w:val="40"/>
          <w:szCs w:val="40"/>
          <w:lang w:eastAsia="zh-CN"/>
        </w:rPr>
      </w:pPr>
    </w:p>
    <w:p>
      <w:pPr>
        <w:widowControl/>
        <w:snapToGrid w:val="0"/>
        <w:spacing w:line="400" w:lineRule="exact"/>
        <w:jc w:val="center"/>
        <w:rPr>
          <w:rFonts w:hint="eastAsia" w:ascii="宋体" w:hAnsi="宋体"/>
          <w:b/>
          <w:color w:val="000000"/>
          <w:sz w:val="40"/>
          <w:szCs w:val="40"/>
          <w:lang w:eastAsia="zh-CN"/>
        </w:rPr>
      </w:pPr>
    </w:p>
    <w:p>
      <w:pPr>
        <w:widowControl/>
        <w:snapToGrid w:val="0"/>
        <w:spacing w:line="400" w:lineRule="exact"/>
        <w:jc w:val="center"/>
        <w:rPr>
          <w:rFonts w:hint="eastAsia" w:ascii="宋体" w:hAnsi="宋体"/>
          <w:b/>
          <w:color w:val="000000"/>
          <w:sz w:val="40"/>
          <w:szCs w:val="40"/>
          <w:lang w:eastAsia="zh-CN"/>
        </w:rPr>
      </w:pPr>
    </w:p>
    <w:p>
      <w:pPr>
        <w:widowControl/>
        <w:snapToGrid w:val="0"/>
        <w:spacing w:line="400" w:lineRule="exact"/>
        <w:jc w:val="center"/>
        <w:rPr>
          <w:rFonts w:hint="eastAsia" w:ascii="宋体" w:hAnsi="宋体"/>
          <w:b/>
          <w:color w:val="000000"/>
          <w:sz w:val="40"/>
          <w:szCs w:val="40"/>
          <w:lang w:eastAsia="zh-CN"/>
        </w:rPr>
      </w:pPr>
    </w:p>
    <w:p>
      <w:pPr>
        <w:widowControl/>
        <w:snapToGrid w:val="0"/>
        <w:spacing w:line="400" w:lineRule="exact"/>
        <w:jc w:val="center"/>
        <w:rPr>
          <w:rFonts w:hint="eastAsia" w:ascii="宋体" w:hAnsi="宋体"/>
          <w:b/>
          <w:color w:val="000000"/>
          <w:sz w:val="40"/>
          <w:szCs w:val="40"/>
          <w:lang w:eastAsia="zh-CN"/>
        </w:rPr>
      </w:pPr>
    </w:p>
    <w:p>
      <w:pPr>
        <w:widowControl/>
        <w:snapToGrid w:val="0"/>
        <w:spacing w:line="400" w:lineRule="exact"/>
        <w:jc w:val="center"/>
        <w:rPr>
          <w:rFonts w:hint="eastAsia" w:ascii="宋体" w:hAnsi="宋体" w:eastAsia="宋体"/>
          <w:b/>
          <w:color w:val="000000"/>
          <w:sz w:val="40"/>
          <w:szCs w:val="40"/>
          <w:lang w:eastAsia="zh-CN"/>
        </w:rPr>
      </w:pPr>
      <w:r>
        <w:rPr>
          <w:rFonts w:hint="eastAsia" w:ascii="宋体" w:hAnsi="宋体"/>
          <w:b/>
          <w:color w:val="000000"/>
          <w:sz w:val="40"/>
          <w:szCs w:val="40"/>
          <w:lang w:eastAsia="zh-CN"/>
        </w:rPr>
        <w:t>评</w:t>
      </w:r>
      <w:r>
        <w:rPr>
          <w:rFonts w:hint="eastAsia" w:ascii="宋体" w:hAnsi="宋体"/>
          <w:b/>
          <w:color w:val="000000"/>
          <w:sz w:val="40"/>
          <w:szCs w:val="40"/>
          <w:lang w:val="en-US" w:eastAsia="zh-CN"/>
        </w:rPr>
        <w:t xml:space="preserve"> </w:t>
      </w:r>
      <w:r>
        <w:rPr>
          <w:rFonts w:hint="eastAsia" w:ascii="宋体" w:hAnsi="宋体"/>
          <w:b/>
          <w:color w:val="000000"/>
          <w:sz w:val="40"/>
          <w:szCs w:val="40"/>
          <w:lang w:eastAsia="zh-CN"/>
        </w:rPr>
        <w:t>审</w:t>
      </w:r>
      <w:r>
        <w:rPr>
          <w:rFonts w:hint="eastAsia" w:ascii="宋体" w:hAnsi="宋体"/>
          <w:b/>
          <w:color w:val="000000"/>
          <w:sz w:val="40"/>
          <w:szCs w:val="40"/>
          <w:lang w:val="en-US" w:eastAsia="zh-CN"/>
        </w:rPr>
        <w:t xml:space="preserve"> </w:t>
      </w:r>
      <w:r>
        <w:rPr>
          <w:rFonts w:hint="eastAsia" w:ascii="宋体" w:hAnsi="宋体"/>
          <w:b/>
          <w:color w:val="000000"/>
          <w:sz w:val="40"/>
          <w:szCs w:val="40"/>
          <w:lang w:eastAsia="zh-CN"/>
        </w:rPr>
        <w:t>标</w:t>
      </w:r>
      <w:r>
        <w:rPr>
          <w:rFonts w:hint="eastAsia" w:ascii="宋体" w:hAnsi="宋体"/>
          <w:b/>
          <w:color w:val="000000"/>
          <w:sz w:val="40"/>
          <w:szCs w:val="40"/>
          <w:lang w:val="en-US" w:eastAsia="zh-CN"/>
        </w:rPr>
        <w:t xml:space="preserve"> </w:t>
      </w:r>
      <w:r>
        <w:rPr>
          <w:rFonts w:hint="eastAsia" w:ascii="宋体" w:hAnsi="宋体"/>
          <w:b/>
          <w:color w:val="000000"/>
          <w:sz w:val="40"/>
          <w:szCs w:val="40"/>
          <w:lang w:eastAsia="zh-CN"/>
        </w:rPr>
        <w:t>准</w:t>
      </w:r>
    </w:p>
    <w:tbl>
      <w:tblPr>
        <w:tblStyle w:val="10"/>
        <w:tblpPr w:leftFromText="180" w:rightFromText="180" w:vertAnchor="text" w:horzAnchor="page" w:tblpX="1455" w:tblpY="730"/>
        <w:tblW w:w="93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7"/>
        <w:gridCol w:w="1133"/>
        <w:gridCol w:w="838"/>
        <w:gridCol w:w="4228"/>
        <w:gridCol w:w="27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7" w:type="dxa"/>
            <w:noWrap w:val="0"/>
            <w:vAlign w:val="center"/>
          </w:tcPr>
          <w:p>
            <w:pPr>
              <w:pStyle w:val="8"/>
              <w:spacing w:line="40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序号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pStyle w:val="8"/>
              <w:spacing w:line="400" w:lineRule="exact"/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评分</w:t>
            </w:r>
            <w:r>
              <w:rPr>
                <w:rFonts w:ascii="宋体" w:hAnsi="宋体"/>
                <w:b/>
                <w:sz w:val="21"/>
                <w:szCs w:val="21"/>
              </w:rPr>
              <w:t>因素</w:t>
            </w:r>
          </w:p>
        </w:tc>
        <w:tc>
          <w:tcPr>
            <w:tcW w:w="838" w:type="dxa"/>
            <w:noWrap w:val="0"/>
            <w:vAlign w:val="center"/>
          </w:tcPr>
          <w:p>
            <w:pPr>
              <w:pStyle w:val="8"/>
              <w:spacing w:line="40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分值</w:t>
            </w:r>
          </w:p>
        </w:tc>
        <w:tc>
          <w:tcPr>
            <w:tcW w:w="4228" w:type="dxa"/>
            <w:noWrap w:val="0"/>
            <w:vAlign w:val="center"/>
          </w:tcPr>
          <w:p>
            <w:pPr>
              <w:pStyle w:val="8"/>
              <w:spacing w:line="40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评分标准</w:t>
            </w:r>
          </w:p>
        </w:tc>
        <w:tc>
          <w:tcPr>
            <w:tcW w:w="2730" w:type="dxa"/>
            <w:noWrap w:val="0"/>
            <w:vAlign w:val="top"/>
          </w:tcPr>
          <w:p>
            <w:pPr>
              <w:pStyle w:val="8"/>
              <w:spacing w:line="40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3" w:hRule="atLeast"/>
        </w:trPr>
        <w:tc>
          <w:tcPr>
            <w:tcW w:w="427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ascii="宋体" w:hAnsi="宋体" w:cs="宋体"/>
                <w:szCs w:val="21"/>
                <w:lang w:val="zh-CN"/>
              </w:rPr>
            </w:pPr>
            <w:r>
              <w:rPr>
                <w:rFonts w:hint="eastAsia" w:ascii="宋体" w:hAnsi="宋体" w:cs="宋体"/>
                <w:szCs w:val="21"/>
                <w:lang w:val="zh-CN"/>
              </w:rPr>
              <w:t>报价</w:t>
            </w:r>
          </w:p>
        </w:tc>
        <w:tc>
          <w:tcPr>
            <w:tcW w:w="838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5</w:t>
            </w:r>
          </w:p>
        </w:tc>
        <w:tc>
          <w:tcPr>
            <w:tcW w:w="4228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以本次有效的最低投标报价为基准价，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比选</w:t>
            </w:r>
            <w:r>
              <w:rPr>
                <w:rFonts w:hint="eastAsia" w:ascii="宋体" w:hAnsi="宋体"/>
                <w:sz w:val="21"/>
                <w:szCs w:val="21"/>
              </w:rPr>
              <w:t>报价得分=（基准价/投标报价）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*35</w:t>
            </w:r>
            <w:r>
              <w:rPr>
                <w:rFonts w:hint="eastAsia" w:ascii="宋体" w:hAnsi="宋体"/>
                <w:sz w:val="21"/>
                <w:szCs w:val="21"/>
              </w:rPr>
              <w:t>（保留小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数</w:t>
            </w:r>
            <w:r>
              <w:rPr>
                <w:rFonts w:hint="eastAsia" w:ascii="宋体" w:hAnsi="宋体"/>
                <w:sz w:val="21"/>
                <w:szCs w:val="21"/>
              </w:rPr>
              <w:t>后两位，四舍五入取整）。</w:t>
            </w:r>
          </w:p>
        </w:tc>
        <w:tc>
          <w:tcPr>
            <w:tcW w:w="2730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textAlignment w:val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小型和微型企业参与项目比选不做价格扣除。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3" w:hRule="atLeast"/>
        </w:trPr>
        <w:tc>
          <w:tcPr>
            <w:tcW w:w="427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Cs w:val="21"/>
                <w:lang w:val="zh-CN"/>
              </w:rPr>
            </w:pPr>
            <w:r>
              <w:rPr>
                <w:rFonts w:hint="eastAsia" w:ascii="宋体" w:hAnsi="宋体" w:cs="宋体"/>
                <w:szCs w:val="21"/>
                <w:lang w:val="zh-CN"/>
              </w:rPr>
              <w:t>活动实施方案</w:t>
            </w:r>
          </w:p>
        </w:tc>
        <w:tc>
          <w:tcPr>
            <w:tcW w:w="838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4228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供应商针对本活动提供的活动实施方案包含：①活动落地具体实施方案（含游戏设置及演出）；②服务保障措施（附人员配置清单）；③活动安全应急预案；④售后服务方案。方案包含以上内容且内容完整的，得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>32</w:t>
            </w:r>
            <w:r>
              <w:rPr>
                <w:rFonts w:hint="eastAsia" w:ascii="宋体"/>
                <w:sz w:val="21"/>
                <w:szCs w:val="21"/>
                <w:lang w:eastAsia="zh-CN"/>
              </w:rPr>
              <w:t>分。每缺少一项内容扣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/>
                <w:sz w:val="21"/>
                <w:szCs w:val="21"/>
                <w:lang w:eastAsia="zh-CN"/>
              </w:rPr>
              <w:t>分，每有一处存在缺陷的扣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/>
                <w:sz w:val="21"/>
                <w:szCs w:val="21"/>
                <w:lang w:eastAsia="zh-CN"/>
              </w:rPr>
              <w:t>分，扣完为止。（缺陷是指：内容不完整、过于简略、与实际情况不符、表述不清晰、凭空编造、套用其他项目方案、内容前后不一致、前后逻辑错误、涉及的规范及标准错误、不符合采购需求、不可能实现的情形等任意一种情形。）</w:t>
            </w:r>
          </w:p>
        </w:tc>
        <w:tc>
          <w:tcPr>
            <w:tcW w:w="2730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textAlignment w:val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根据项目技术需求服务要求等要求提供项目的整套实施服务方案，由评分小组成员进行打分。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4" w:hRule="atLeast"/>
        </w:trPr>
        <w:tc>
          <w:tcPr>
            <w:tcW w:w="427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Cs w:val="21"/>
                <w:lang w:val="zh-CN"/>
              </w:rPr>
            </w:pPr>
            <w:r>
              <w:rPr>
                <w:rFonts w:hint="eastAsia" w:ascii="宋体" w:hAnsi="宋体" w:cs="宋体"/>
                <w:szCs w:val="21"/>
                <w:lang w:val="zh-CN"/>
              </w:rPr>
              <w:t>活动实施场地</w:t>
            </w:r>
          </w:p>
        </w:tc>
        <w:tc>
          <w:tcPr>
            <w:tcW w:w="838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4228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both"/>
              <w:textAlignment w:val="auto"/>
              <w:rPr>
                <w:rFonts w:hint="eastAsia" w:ascii="宋体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宋体" w:hAnsi="Times New Roman" w:eastAsia="宋体" w:cs="Times New Roman"/>
                <w:sz w:val="21"/>
                <w:szCs w:val="21"/>
                <w:lang w:eastAsia="zh-CN"/>
              </w:rPr>
              <w:t>供应商根据活动要求提供活动具体实施的大型广场/商业综合体</w:t>
            </w:r>
            <w:r>
              <w:rPr>
                <w:rFonts w:hint="eastAsia" w:ascii="宋体" w:hAnsi="Times New Roman" w:eastAsia="宋体" w:cs="Times New Roman"/>
                <w:sz w:val="21"/>
                <w:szCs w:val="21"/>
                <w:lang w:val="en-US" w:eastAsia="zh-CN"/>
              </w:rPr>
              <w:t>1个及该地点综合情况展示1份，内容包含：①活动场地位置及人流量说明；②活动场地承载能力及安全情况说明；③活动执行区域规划图、搭建效果图。情况展示包含以上内容且内容完整的，得18分，每缺少一项内容扣6分。每有一处存在缺陷的扣3分，扣完为止。（缺陷是指：内容不完整、与实际情况不符、凭空编造、区域规划及搭建效果不符合采购需求等）</w:t>
            </w:r>
          </w:p>
        </w:tc>
        <w:tc>
          <w:tcPr>
            <w:tcW w:w="2730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both"/>
              <w:textAlignment w:val="auto"/>
              <w:rPr>
                <w:rFonts w:hint="eastAsia" w:ascii="宋体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宋体" w:hAnsi="Times New Roman" w:eastAsia="宋体" w:cs="Times New Roman"/>
                <w:sz w:val="21"/>
                <w:szCs w:val="21"/>
              </w:rPr>
              <w:t>根据项目技</w:t>
            </w:r>
            <w:bookmarkStart w:id="0" w:name="_GoBack"/>
            <w:bookmarkEnd w:id="0"/>
            <w:r>
              <w:rPr>
                <w:rFonts w:hint="eastAsia" w:ascii="宋体" w:hAnsi="Times New Roman" w:eastAsia="宋体" w:cs="Times New Roman"/>
                <w:sz w:val="21"/>
                <w:szCs w:val="21"/>
              </w:rPr>
              <w:t>术需求商务要求等要求提供项目</w:t>
            </w:r>
            <w:r>
              <w:rPr>
                <w:rFonts w:hint="eastAsia" w:ascii="宋体" w:hAnsi="Times New Roman" w:eastAsia="宋体" w:cs="Times New Roman"/>
                <w:sz w:val="21"/>
                <w:szCs w:val="21"/>
                <w:lang w:eastAsia="zh-CN"/>
              </w:rPr>
              <w:t>实施地完整的情况展示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3" w:hRule="atLeast"/>
        </w:trPr>
        <w:tc>
          <w:tcPr>
            <w:tcW w:w="427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Cs w:val="21"/>
                <w:lang w:val="zh-CN"/>
              </w:rPr>
            </w:pPr>
            <w:r>
              <w:rPr>
                <w:rFonts w:hint="eastAsia" w:ascii="宋体" w:hAnsi="宋体" w:cs="宋体"/>
                <w:szCs w:val="21"/>
                <w:lang w:val="zh-CN"/>
              </w:rPr>
              <w:t>履约能力</w:t>
            </w:r>
          </w:p>
        </w:tc>
        <w:tc>
          <w:tcPr>
            <w:tcW w:w="838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42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zh-CN"/>
              </w:rPr>
              <w:t>提供2</w:t>
            </w:r>
            <w:r>
              <w:rPr>
                <w:rFonts w:ascii="宋体" w:hAnsi="宋体" w:cs="宋体"/>
                <w:szCs w:val="21"/>
                <w:lang w:val="zh-CN"/>
              </w:rPr>
              <w:t>02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Cs w:val="21"/>
                <w:lang w:val="zh-CN"/>
              </w:rPr>
              <w:t>年以来开展过的大型公众活动成功案例，</w:t>
            </w:r>
            <w:r>
              <w:rPr>
                <w:rFonts w:hint="eastAsia" w:ascii="宋体" w:hAnsi="宋体"/>
                <w:szCs w:val="21"/>
              </w:rPr>
              <w:t>每提供一个方案得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szCs w:val="21"/>
              </w:rPr>
              <w:t>分，最多得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Cs w:val="21"/>
              </w:rPr>
              <w:t>分。</w:t>
            </w:r>
          </w:p>
        </w:tc>
        <w:tc>
          <w:tcPr>
            <w:tcW w:w="2730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textAlignment w:val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每个案例均需提供活动现场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彩印</w:t>
            </w:r>
            <w:r>
              <w:rPr>
                <w:rFonts w:hint="eastAsia" w:ascii="宋体" w:hAnsi="宋体"/>
                <w:sz w:val="21"/>
                <w:szCs w:val="21"/>
              </w:rPr>
              <w:t>照片、合同关键页复印件加盖鲜章，不提供或提供不完善不得分。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3" w:hRule="atLeast"/>
        </w:trPr>
        <w:tc>
          <w:tcPr>
            <w:tcW w:w="427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Cs w:val="21"/>
                <w:lang w:val="zh-CN"/>
              </w:rPr>
            </w:pPr>
            <w:r>
              <w:rPr>
                <w:rFonts w:hint="eastAsia" w:ascii="宋体" w:hAnsi="宋体" w:cs="宋体"/>
                <w:szCs w:val="21"/>
                <w:lang w:val="zh-CN"/>
              </w:rPr>
              <w:t>本地化服务能力</w:t>
            </w:r>
          </w:p>
        </w:tc>
        <w:tc>
          <w:tcPr>
            <w:tcW w:w="838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42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hint="eastAsia" w:ascii="宋体" w:hAnsi="宋体" w:cs="宋体"/>
                <w:szCs w:val="21"/>
                <w:lang w:val="zh-CN"/>
              </w:rPr>
            </w:pPr>
            <w:r>
              <w:rPr>
                <w:rFonts w:hint="eastAsia" w:hAnsi="宋体"/>
                <w:szCs w:val="21"/>
                <w:lang w:eastAsia="zh-CN"/>
              </w:rPr>
              <w:t>服务商</w:t>
            </w:r>
            <w:r>
              <w:rPr>
                <w:rFonts w:hint="eastAsia" w:hAnsi="宋体"/>
                <w:szCs w:val="21"/>
              </w:rPr>
              <w:t>在采购方所在地有固定办公场所或</w:t>
            </w:r>
            <w:r>
              <w:rPr>
                <w:rFonts w:hAnsi="宋体"/>
                <w:szCs w:val="21"/>
              </w:rPr>
              <w:t>可以驻点办公，</w:t>
            </w:r>
            <w:r>
              <w:rPr>
                <w:rFonts w:hint="eastAsia" w:hAnsi="宋体"/>
                <w:szCs w:val="21"/>
              </w:rPr>
              <w:t>及时提供本地服务。</w:t>
            </w:r>
            <w:r>
              <w:rPr>
                <w:rFonts w:hint="eastAsia" w:ascii="宋体" w:hAnsi="宋体"/>
                <w:szCs w:val="21"/>
              </w:rPr>
              <w:t>（满足得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szCs w:val="21"/>
              </w:rPr>
              <w:t>分，不满足不得分）</w:t>
            </w:r>
          </w:p>
        </w:tc>
        <w:tc>
          <w:tcPr>
            <w:tcW w:w="2730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textAlignment w:val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如在本地有固定办公地点，请提供租房合同复印件；如没有，请提供驻点办公承诺函。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投标文件规范性</w:t>
            </w:r>
          </w:p>
        </w:tc>
        <w:tc>
          <w:tcPr>
            <w:tcW w:w="838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228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textAlignment w:val="auto"/>
              <w:rPr>
                <w:rFonts w:hint="eastAsia"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投标文件制作规范，没有细微偏差情形的得</w:t>
            </w:r>
            <w:r>
              <w:rPr>
                <w:rFonts w:hint="eastAsia" w:hAnsi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hAnsi="宋体"/>
                <w:sz w:val="21"/>
                <w:szCs w:val="21"/>
              </w:rPr>
              <w:t>分;有一项细微偏差扣1分，直至该项分值扣完为止。</w:t>
            </w:r>
          </w:p>
        </w:tc>
        <w:tc>
          <w:tcPr>
            <w:tcW w:w="2730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textAlignment w:val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内容清晰工整、胶装成册，无涂改、无活页、无零散页等情况。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6" w:type="dxa"/>
            <w:gridSpan w:val="5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textAlignment w:val="auto"/>
              <w:rPr>
                <w:rFonts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备注：1、</w:t>
            </w:r>
            <w:r>
              <w:rPr>
                <w:rFonts w:hint="eastAsia" w:hAnsi="宋体"/>
                <w:sz w:val="21"/>
                <w:szCs w:val="21"/>
              </w:rPr>
              <w:t>项目技术需求及服务需求均为实质性要求，如出现负偏离视为废标。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602" w:firstLineChars="287"/>
              <w:textAlignment w:val="auto"/>
              <w:rPr>
                <w:rFonts w:hint="eastAsia"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2、</w:t>
            </w:r>
            <w:r>
              <w:rPr>
                <w:rFonts w:hint="eastAsia" w:hAnsi="宋体"/>
                <w:sz w:val="21"/>
                <w:szCs w:val="21"/>
                <w:lang w:eastAsia="zh-CN"/>
              </w:rPr>
              <w:t>服务商</w:t>
            </w:r>
            <w:r>
              <w:rPr>
                <w:rFonts w:hint="eastAsia" w:hAnsi="宋体"/>
                <w:sz w:val="21"/>
                <w:szCs w:val="21"/>
              </w:rPr>
              <w:t>综合得分=各评审成员评分的平均分（保留小数点后两位，四舍五入取整）。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630" w:firstLineChars="300"/>
              <w:textAlignment w:val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3、综合得分若出现得分相同的情况，则按报价进行升序排序确定候选</w:t>
            </w:r>
            <w:r>
              <w:rPr>
                <w:rFonts w:hint="eastAsia" w:hAnsi="宋体"/>
                <w:sz w:val="21"/>
                <w:szCs w:val="21"/>
                <w:lang w:eastAsia="zh-CN"/>
              </w:rPr>
              <w:t>服务商</w:t>
            </w:r>
            <w:r>
              <w:rPr>
                <w:rFonts w:hint="eastAsia" w:hAnsi="宋体"/>
                <w:sz w:val="21"/>
                <w:szCs w:val="21"/>
              </w:rPr>
              <w:t>排名。</w:t>
            </w:r>
          </w:p>
        </w:tc>
      </w:tr>
    </w:tbl>
    <w:p>
      <w:pPr>
        <w:snapToGrid w:val="0"/>
        <w:jc w:val="both"/>
        <w:rPr>
          <w:rFonts w:hint="eastAsia" w:ascii="宋体" w:hAnsi="宋体"/>
          <w:b/>
          <w:color w:val="FF0000"/>
          <w:szCs w:val="21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935" w:right="1106" w:bottom="1246" w:left="1440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jc w:val="center"/>
        <w:rPr>
          <w:rFonts w:ascii="仿宋" w:eastAsia="仿宋" w:cs="仿宋"/>
          <w:b/>
          <w:sz w:val="24"/>
        </w:rPr>
      </w:pPr>
    </w:p>
    <w:sectPr>
      <w:footerReference r:id="rId6" w:type="default"/>
      <w:pgSz w:w="11906" w:h="16838"/>
      <w:pgMar w:top="1088" w:right="1800" w:bottom="709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right"/>
      <w:rPr>
        <w:rFonts w:hint="eastAsia"/>
      </w:rPr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-</w:t>
    </w:r>
    <w:r>
      <w:t xml:space="preserve"> 3 -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rPr>
        <w:rFonts w:hint="eastAsia"/>
      </w:rPr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-</w:t>
    </w:r>
    <w:r>
      <w:t xml:space="preserve"> 4 -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8"/>
                </w:pPr>
                <w:r>
                  <w:t xml:space="preserve">第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页 共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3</w:t>
                </w:r>
                <w:r>
                  <w:fldChar w:fldCharType="end"/>
                </w:r>
                <w:r>
                  <w:t xml:space="preserve"> 页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0A2159"/>
    <w:multiLevelType w:val="multilevel"/>
    <w:tmpl w:val="130A2159"/>
    <w:lvl w:ilvl="0" w:tentative="0">
      <w:start w:val="1"/>
      <w:numFmt w:val="chineseCountingThousand"/>
      <w:suff w:val="nothing"/>
      <w:lvlText w:val="(%1)"/>
      <w:lvlJc w:val="left"/>
      <w:pPr>
        <w:ind w:left="420" w:hanging="420"/>
      </w:pPr>
      <w:rPr>
        <w:rFonts w:hint="eastAsia"/>
        <w:b w:val="0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5C9A4C18"/>
    <w:multiLevelType w:val="multilevel"/>
    <w:tmpl w:val="5C9A4C18"/>
    <w:lvl w:ilvl="0" w:tentative="0">
      <w:start w:val="1"/>
      <w:numFmt w:val="chineseCountingThousand"/>
      <w:suff w:val="nothing"/>
      <w:lvlText w:val="(%1)"/>
      <w:lvlJc w:val="left"/>
      <w:pPr>
        <w:ind w:left="420" w:hanging="420"/>
      </w:pPr>
      <w:rPr>
        <w:rFonts w:hint="eastAsia"/>
        <w:b/>
      </w:rPr>
    </w:lvl>
    <w:lvl w:ilvl="1" w:tentative="0">
      <w:start w:val="1"/>
      <w:numFmt w:val="decimal"/>
      <w:lvlText w:val="%2、"/>
      <w:lvlJc w:val="left"/>
      <w:pPr>
        <w:ind w:left="840" w:hanging="42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JjNWY0MmVhYjM0M2UzMjFjOTEwZTRjZmE4ZTE1MDYifQ=="/>
  </w:docVars>
  <w:rsids>
    <w:rsidRoot w:val="008D4108"/>
    <w:rsid w:val="000E6E66"/>
    <w:rsid w:val="000F63CE"/>
    <w:rsid w:val="00391617"/>
    <w:rsid w:val="003A737B"/>
    <w:rsid w:val="0060737E"/>
    <w:rsid w:val="00803686"/>
    <w:rsid w:val="008B4383"/>
    <w:rsid w:val="008D4108"/>
    <w:rsid w:val="00C42B32"/>
    <w:rsid w:val="00C52313"/>
    <w:rsid w:val="00C727B9"/>
    <w:rsid w:val="00D937E0"/>
    <w:rsid w:val="00E156AD"/>
    <w:rsid w:val="04F25064"/>
    <w:rsid w:val="06F35CC2"/>
    <w:rsid w:val="08DD20A7"/>
    <w:rsid w:val="22B60B6E"/>
    <w:rsid w:val="5C411511"/>
    <w:rsid w:val="65904230"/>
    <w:rsid w:val="7D172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autoRedefine/>
    <w:qFormat/>
    <w:uiPriority w:val="0"/>
    <w:pPr>
      <w:keepNext/>
      <w:keepLines/>
      <w:spacing w:before="260" w:after="260" w:line="415" w:lineRule="auto"/>
      <w:outlineLvl w:val="1"/>
    </w:pPr>
    <w:rPr>
      <w:rFonts w:eastAsia="黑体"/>
      <w:b/>
      <w:sz w:val="32"/>
    </w:rPr>
  </w:style>
  <w:style w:type="paragraph" w:styleId="4">
    <w:name w:val="heading 3"/>
    <w:basedOn w:val="1"/>
    <w:next w:val="1"/>
    <w:autoRedefine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1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autoRedefine/>
    <w:qFormat/>
    <w:uiPriority w:val="0"/>
    <w:pPr>
      <w:spacing w:after="120"/>
    </w:pPr>
  </w:style>
  <w:style w:type="paragraph" w:styleId="6">
    <w:name w:val="Body Text Indent"/>
    <w:basedOn w:val="1"/>
    <w:autoRedefine/>
    <w:qFormat/>
    <w:uiPriority w:val="0"/>
    <w:pPr>
      <w:ind w:firstLine="630"/>
    </w:pPr>
    <w:rPr>
      <w:rFonts w:ascii="Calibri" w:hAnsi="Calibri" w:cs="Arial"/>
      <w:sz w:val="32"/>
      <w:szCs w:val="22"/>
    </w:rPr>
  </w:style>
  <w:style w:type="paragraph" w:styleId="7">
    <w:name w:val="Balloon Text"/>
    <w:basedOn w:val="1"/>
    <w:autoRedefine/>
    <w:qFormat/>
    <w:uiPriority w:val="0"/>
    <w:rPr>
      <w:sz w:val="18"/>
      <w:szCs w:val="18"/>
    </w:rPr>
  </w:style>
  <w:style w:type="paragraph" w:styleId="8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2">
    <w:name w:val="annotation reference"/>
    <w:autoRedefine/>
    <w:qFormat/>
    <w:uiPriority w:val="0"/>
    <w:rPr>
      <w:sz w:val="21"/>
      <w:szCs w:val="21"/>
    </w:rPr>
  </w:style>
  <w:style w:type="paragraph" w:styleId="13">
    <w:name w:val="List Paragraph"/>
    <w:basedOn w:val="1"/>
    <w:autoRedefine/>
    <w:qFormat/>
    <w:uiPriority w:val="0"/>
    <w:pPr>
      <w:ind w:firstLine="200" w:firstLineChars="200"/>
    </w:pPr>
    <w:rPr>
      <w:rFonts w:ascii="Calibri" w:hAnsi="Calibri"/>
      <w:szCs w:val="22"/>
    </w:rPr>
  </w:style>
  <w:style w:type="character" w:customStyle="1" w:styleId="14">
    <w:name w:val="正文文本缩进 Char1"/>
    <w:basedOn w:val="11"/>
    <w:autoRedefine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15">
    <w:name w:val="页脚 字符"/>
    <w:autoRedefine/>
    <w:qFormat/>
    <w:uiPriority w:val="0"/>
    <w:rPr>
      <w:kern w:val="2"/>
      <w:sz w:val="18"/>
      <w:szCs w:val="18"/>
    </w:rPr>
  </w:style>
  <w:style w:type="paragraph" w:customStyle="1" w:styleId="16">
    <w:name w:val="标准正文"/>
    <w:autoRedefine/>
    <w:qFormat/>
    <w:uiPriority w:val="0"/>
    <w:pPr>
      <w:widowControl w:val="0"/>
      <w:adjustRightInd w:val="0"/>
      <w:snapToGrid w:val="0"/>
      <w:spacing w:line="300" w:lineRule="auto"/>
      <w:ind w:firstLine="200" w:firstLineChars="200"/>
      <w:jc w:val="both"/>
    </w:pPr>
    <w:rPr>
      <w:rFonts w:ascii="宋体" w:hAnsi="Times New Roman" w:eastAsia="宋体" w:cs="Times New Roman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3523</Words>
  <Characters>3607</Characters>
  <Lines>16</Lines>
  <Paragraphs>4</Paragraphs>
  <TotalTime>18</TotalTime>
  <ScaleCrop>false</ScaleCrop>
  <LinksUpToDate>false</LinksUpToDate>
  <CharactersWithSpaces>3626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2019-10-23T11:21:00Z</dcterms:created>
  <dc:creator>admin</dc:creator>
  <cp:lastModifiedBy>Rachel</cp:lastModifiedBy>
  <cp:lastPrinted>2021-06-30T17:37:00Z</cp:lastPrinted>
  <dcterms:modified xsi:type="dcterms:W3CDTF">2024-07-11T08:55:09Z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5E330CC63F4A402AA0218D6FF002189F_13</vt:lpwstr>
  </property>
  <property fmtid="{D5CDD505-2E9C-101B-9397-08002B2CF9AE}" pid="4" name="commondata">
    <vt:lpwstr>eyJoZGlkIjoiMjJjNWY0MmVhYjM0M2UzMjFjOTEwZTRjZmE4ZTE1MDYifQ==</vt:lpwstr>
  </property>
</Properties>
</file>