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附件</w:t>
      </w:r>
      <w:r>
        <w:rPr>
          <w:rFonts w:ascii="宋体"/>
          <w:color w:val="000000"/>
          <w:sz w:val="24"/>
        </w:rPr>
        <w:t>二：</w:t>
      </w:r>
    </w:p>
    <w:p>
      <w:pPr>
        <w:jc w:val="center"/>
        <w:rPr>
          <w:rFonts w:hint="eastAsia" w:ascii="宋体" w:cs="宋体"/>
          <w:b/>
          <w:sz w:val="32"/>
          <w:szCs w:val="32"/>
        </w:rPr>
      </w:pPr>
      <w:r>
        <w:rPr>
          <w:rFonts w:hint="eastAsia" w:ascii="宋体" w:cs="宋体"/>
          <w:b/>
          <w:sz w:val="32"/>
          <w:szCs w:val="32"/>
        </w:rPr>
        <w:t>四川省体育彩票管理中心德阳分中心</w:t>
      </w:r>
    </w:p>
    <w:p>
      <w:pPr>
        <w:jc w:val="center"/>
        <w:rPr>
          <w:rFonts w:ascii="仿宋" w:eastAsia="仿宋" w:cs="仿宋"/>
          <w:b/>
          <w:sz w:val="24"/>
        </w:rPr>
      </w:pPr>
      <w:r>
        <w:rPr>
          <w:rFonts w:hint="eastAsia" w:ascii="宋体" w:cs="宋体"/>
          <w:b/>
          <w:sz w:val="32"/>
          <w:szCs w:val="32"/>
        </w:rPr>
        <w:t>2023年“体彩乐跑美丽乡村”品牌公益活动采购项目</w:t>
      </w:r>
    </w:p>
    <w:tbl>
      <w:tblPr>
        <w:tblStyle w:val="10"/>
        <w:tblpPr w:leftFromText="120" w:rightFromText="120" w:vertAnchor="text" w:horzAnchor="page" w:tblpX="768" w:tblpY="21"/>
        <w:tblOverlap w:val="never"/>
        <w:tblW w:w="10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2757"/>
        <w:gridCol w:w="3142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项目名称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四川省体育彩票管理中心2023年“体彩乐跑美丽乡村”品牌公益活动采购项目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项目总预算（万元）</w:t>
            </w: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lang w:val="en-US" w:eastAsia="zh-CN"/>
              </w:rPr>
              <w:t>8.9</w:t>
            </w:r>
          </w:p>
        </w:tc>
        <w:tc>
          <w:tcPr>
            <w:tcW w:w="31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项目最高限价（万元）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lang w:val="en-US" w:eastAsia="zh-CN"/>
              </w:rPr>
              <w:t>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采购方式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</w:rPr>
              <w:t>低价中选（   ）     综合评分（ √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826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一、项目概述</w:t>
            </w:r>
          </w:p>
          <w:p>
            <w:pPr>
              <w:spacing w:line="360" w:lineRule="auto"/>
              <w:ind w:firstLine="480" w:firstLineChars="200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eastAsia="zh-CN"/>
              </w:rPr>
              <w:t>为深入探索“体彩+乡村振兴”发展，充分发挥中国体育彩票在带动全民健身、增强乡村活力、推动乡村产业发展方面的独特作用，用体彩微光照亮美好生活</w:t>
            </w:r>
            <w:r>
              <w:rPr>
                <w:rFonts w:hint="eastAsia" w:ascii="仿宋" w:eastAsia="仿宋" w:cs="仿宋"/>
                <w:kern w:val="0"/>
                <w:sz w:val="24"/>
              </w:rPr>
              <w:t>。德阳分中心现需通过比选方式确定</w:t>
            </w:r>
            <w:r>
              <w:rPr>
                <w:rFonts w:hint="eastAsia" w:ascii="仿宋" w:eastAsia="仿宋" w:cs="仿宋"/>
                <w:sz w:val="24"/>
              </w:rPr>
              <w:t>四川省体育彩票管理中心2023年“体彩乐跑美丽乡村”品牌公益活动</w:t>
            </w:r>
            <w:r>
              <w:rPr>
                <w:rFonts w:hint="eastAsia" w:ascii="仿宋" w:eastAsia="仿宋" w:cs="仿宋"/>
                <w:kern w:val="0"/>
                <w:sz w:val="24"/>
              </w:rPr>
              <w:t>服务商</w:t>
            </w:r>
            <w:r>
              <w:rPr>
                <w:rFonts w:hint="eastAsia" w:ascii="仿宋" w:eastAsia="仿宋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826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二、项目技术需求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</w:rPr>
              <w:t>（一）总体要求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" w:eastAsia="仿宋" w:cs="仿宋"/>
                <w:kern w:val="0"/>
                <w:sz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</w:rPr>
              <w:t>服务商应具有合法经营资质，可协调整合德阳市</w:t>
            </w:r>
            <w:r>
              <w:rPr>
                <w:rFonts w:hint="eastAsia" w:ascii="仿宋" w:eastAsia="仿宋" w:cs="仿宋"/>
                <w:kern w:val="0"/>
                <w:sz w:val="24"/>
                <w:lang w:eastAsia="zh-CN"/>
              </w:rPr>
              <w:t>主城区周边乡村景点资源</w:t>
            </w:r>
            <w:r>
              <w:rPr>
                <w:rFonts w:hint="eastAsia" w:ascii="仿宋" w:eastAsia="仿宋" w:cs="仿宋"/>
                <w:kern w:val="0"/>
                <w:sz w:val="24"/>
              </w:rPr>
              <w:t>，按照采购人需求在德阳市范围内选择乡村旅游发展较好、具有本地特色的乡村景点、村落开展3-5公里的健步走、田园跑等活动，邀请德阳市主城区不少于150个家庭参与，同时集中宣传体彩公益金筹集及使用成效，活动结合乡村优势产业资源进行展示，推进德阳体彩品牌宣传。服务商须按照采购人需求以</w:t>
            </w:r>
            <w:r>
              <w:rPr>
                <w:rFonts w:hint="eastAsia" w:ascii="仿宋" w:eastAsia="仿宋" w:cs="仿宋"/>
                <w:kern w:val="0"/>
                <w:sz w:val="24"/>
                <w:lang w:eastAsia="zh-CN"/>
              </w:rPr>
              <w:t>“体彩乐跑美丽乡村”主题</w:t>
            </w:r>
            <w:r>
              <w:rPr>
                <w:rFonts w:hint="eastAsia" w:ascii="仿宋" w:eastAsia="仿宋" w:cs="仿宋"/>
                <w:kern w:val="0"/>
                <w:sz w:val="24"/>
              </w:rPr>
              <w:t>落地活动的方式进行本次采购服务的策划、组织、实施以及后续服务工作。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</w:rPr>
              <w:t>（二）技术参数指标：</w:t>
            </w:r>
          </w:p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" w:eastAsia="仿宋" w:cs="仿宋"/>
                <w:kern w:val="0"/>
                <w:sz w:val="24"/>
              </w:rPr>
              <w:t>服务商具备</w:t>
            </w:r>
            <w:r>
              <w:rPr>
                <w:rFonts w:hint="eastAsia" w:ascii="仿宋" w:eastAsia="仿宋" w:cs="仿宋"/>
                <w:kern w:val="0"/>
                <w:sz w:val="24"/>
                <w:lang w:eastAsia="zh-CN"/>
              </w:rPr>
              <w:t>协调</w:t>
            </w:r>
            <w:r>
              <w:rPr>
                <w:rFonts w:hint="eastAsia" w:ascii="仿宋" w:eastAsia="仿宋" w:cs="仿宋"/>
                <w:kern w:val="0"/>
                <w:sz w:val="24"/>
              </w:rPr>
              <w:t>整合德阳市主城区周边乡村景点资源</w:t>
            </w:r>
            <w:r>
              <w:rPr>
                <w:rFonts w:hint="eastAsia" w:ascii="仿宋" w:eastAsia="仿宋" w:cs="仿宋"/>
                <w:kern w:val="0"/>
                <w:sz w:val="24"/>
                <w:lang w:eastAsia="zh-CN"/>
              </w:rPr>
              <w:t>的能力</w:t>
            </w:r>
            <w:r>
              <w:rPr>
                <w:rFonts w:hint="eastAsia" w:ascii="仿宋" w:eastAsia="仿宋" w:cs="仿宋"/>
                <w:kern w:val="0"/>
                <w:sz w:val="24"/>
              </w:rPr>
              <w:t>，在</w:t>
            </w:r>
            <w:r>
              <w:rPr>
                <w:rFonts w:hint="eastAsia" w:ascii="仿宋" w:eastAsia="仿宋" w:cs="仿宋"/>
                <w:kern w:val="0"/>
                <w:sz w:val="24"/>
                <w:lang w:val="en-US" w:eastAsia="zh-CN"/>
              </w:rPr>
              <w:t>不少于1个乡村旅游发展较好的村落内开展落地活动</w:t>
            </w:r>
            <w:r>
              <w:rPr>
                <w:rFonts w:hint="eastAsia" w:ascii="仿宋" w:eastAsia="仿宋" w:cs="仿宋"/>
                <w:kern w:val="0"/>
                <w:sz w:val="24"/>
              </w:rPr>
              <w:t>，</w:t>
            </w:r>
            <w:r>
              <w:rPr>
                <w:rFonts w:hint="eastAsia" w:ascii="仿宋" w:eastAsia="仿宋" w:cs="仿宋"/>
                <w:kern w:val="0"/>
                <w:sz w:val="24"/>
                <w:lang w:eastAsia="zh-CN"/>
              </w:rPr>
              <w:t>活动时间拟定</w:t>
            </w:r>
            <w:r>
              <w:rPr>
                <w:rFonts w:hint="eastAsia" w:ascii="仿宋" w:eastAsia="仿宋" w:cs="仿宋"/>
                <w:kern w:val="0"/>
                <w:sz w:val="24"/>
                <w:lang w:val="en-US" w:eastAsia="zh-CN"/>
              </w:rPr>
              <w:t>2023年3月25日，主活动时长不低于2小时，</w:t>
            </w:r>
            <w:r>
              <w:rPr>
                <w:rFonts w:hint="eastAsia" w:ascii="仿宋" w:eastAsia="仿宋" w:cs="仿宋"/>
                <w:kern w:val="0"/>
                <w:sz w:val="24"/>
              </w:rPr>
              <w:t>活动内容包括但不限于</w:t>
            </w:r>
            <w:r>
              <w:rPr>
                <w:rFonts w:hint="eastAsia" w:ascii="仿宋" w:eastAsia="仿宋" w:cs="仿宋"/>
                <w:kern w:val="0"/>
                <w:sz w:val="24"/>
                <w:lang w:eastAsia="zh-CN"/>
              </w:rPr>
              <w:t>健步走</w:t>
            </w:r>
            <w:r>
              <w:rPr>
                <w:rFonts w:hint="eastAsia" w:ascii="仿宋" w:eastAsia="仿宋" w:cs="仿宋"/>
                <w:kern w:val="0"/>
                <w:sz w:val="24"/>
              </w:rPr>
              <w:t>、</w:t>
            </w:r>
            <w:r>
              <w:rPr>
                <w:rFonts w:hint="eastAsia" w:ascii="仿宋" w:eastAsia="仿宋" w:cs="仿宋"/>
                <w:kern w:val="0"/>
                <w:sz w:val="24"/>
                <w:lang w:eastAsia="zh-CN"/>
              </w:rPr>
              <w:t>互动游戏</w:t>
            </w:r>
            <w:r>
              <w:rPr>
                <w:rFonts w:hint="eastAsia" w:ascii="仿宋" w:eastAsia="仿宋" w:cs="仿宋"/>
                <w:kern w:val="0"/>
                <w:sz w:val="24"/>
              </w:rPr>
              <w:t>、</w:t>
            </w:r>
            <w:r>
              <w:rPr>
                <w:rFonts w:hint="eastAsia" w:ascii="仿宋" w:eastAsia="仿宋" w:cs="仿宋"/>
                <w:kern w:val="0"/>
                <w:sz w:val="24"/>
                <w:lang w:eastAsia="zh-CN"/>
              </w:rPr>
              <w:t>即开产品展示及体验</w:t>
            </w:r>
            <w:bookmarkStart w:id="0" w:name="_GoBack"/>
            <w:bookmarkEnd w:id="0"/>
            <w:r>
              <w:rPr>
                <w:rFonts w:hint="eastAsia" w:ascii="仿宋" w:eastAsia="仿宋" w:cs="仿宋"/>
                <w:kern w:val="0"/>
                <w:sz w:val="24"/>
                <w:lang w:eastAsia="zh-CN"/>
              </w:rPr>
              <w:t>、乡村特色农产品展示、</w:t>
            </w:r>
            <w:r>
              <w:rPr>
                <w:rFonts w:hint="eastAsia" w:ascii="仿宋" w:eastAsia="仿宋" w:cs="仿宋"/>
                <w:kern w:val="0"/>
                <w:sz w:val="24"/>
              </w:rPr>
              <w:t>责任彩票</w:t>
            </w:r>
            <w:r>
              <w:rPr>
                <w:rFonts w:hint="eastAsia" w:ascii="仿宋" w:eastAsia="仿宋" w:cs="仿宋"/>
                <w:kern w:val="0"/>
                <w:sz w:val="24"/>
                <w:lang w:eastAsia="zh-CN"/>
              </w:rPr>
              <w:t>相关宣传</w:t>
            </w:r>
            <w:r>
              <w:rPr>
                <w:rFonts w:hint="eastAsia" w:ascii="仿宋" w:eastAsia="仿宋" w:cs="仿宋"/>
                <w:kern w:val="0"/>
                <w:sz w:val="24"/>
              </w:rPr>
              <w:t>展示</w:t>
            </w:r>
            <w:r>
              <w:rPr>
                <w:rFonts w:hint="eastAsia" w:ascii="仿宋" w:eastAsia="仿宋" w:cs="仿宋"/>
                <w:kern w:val="0"/>
                <w:sz w:val="24"/>
                <w:lang w:eastAsia="zh-CN"/>
              </w:rPr>
              <w:t>及公益金相关宣传展示等</w:t>
            </w:r>
            <w:r>
              <w:rPr>
                <w:rFonts w:hint="eastAsia" w:ascii="仿宋" w:eastAsia="仿宋" w:cs="仿宋"/>
                <w:kern w:val="0"/>
                <w:sz w:val="24"/>
              </w:rPr>
              <w:t>。</w:t>
            </w:r>
          </w:p>
          <w:p>
            <w:pPr>
              <w:widowControl/>
              <w:spacing w:line="360" w:lineRule="auto"/>
              <w:ind w:firstLine="720" w:firstLineChars="300"/>
              <w:jc w:val="left"/>
              <w:rPr>
                <w:rFonts w:hint="eastAsia" w:asci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" w:eastAsia="仿宋" w:cs="仿宋"/>
                <w:kern w:val="0"/>
                <w:sz w:val="24"/>
              </w:rPr>
              <w:t>由服务商负责活动整体策划</w:t>
            </w:r>
            <w:r>
              <w:rPr>
                <w:rFonts w:hint="eastAsia" w:ascii="仿宋" w:eastAsia="仿宋" w:cs="仿宋"/>
                <w:kern w:val="0"/>
                <w:sz w:val="24"/>
                <w:lang w:eastAsia="zh-CN"/>
              </w:rPr>
              <w:t>、组织、</w:t>
            </w:r>
            <w:r>
              <w:rPr>
                <w:rFonts w:hint="eastAsia" w:ascii="仿宋" w:eastAsia="仿宋" w:cs="仿宋"/>
                <w:kern w:val="0"/>
                <w:sz w:val="24"/>
              </w:rPr>
              <w:t>实施</w:t>
            </w:r>
            <w:r>
              <w:rPr>
                <w:rFonts w:hint="eastAsia" w:ascii="仿宋" w:eastAsia="仿宋" w:cs="仿宋"/>
                <w:kern w:val="0"/>
                <w:sz w:val="24"/>
                <w:lang w:eastAsia="zh-CN"/>
              </w:rPr>
              <w:t>。服务商负责活动布展：活动现场设置体彩公益主题展示区、特色乡村农产品展示区、趣味游戏区、公益售卖区等。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eastAsia="zh-CN"/>
              </w:rPr>
              <w:t>具体现场执行及宣传相关要求：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en-US" w:eastAsia="zh-CN"/>
              </w:rPr>
              <w:t>（1）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活动现场总体搭建桁架背景板、LED大屏幕、设置主舞台、打卡装置、音响、活动门头、宣传展架、活动地贴等。其中LED大屏不少于50平方米、主舞台不少于60平方米、宣传背景板不少于50平方米、主题背景板不少于50平方米、打卡装置不少于20平方米、宣传展架不少于20个、活动地贴不少于60平方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en-US" w:eastAsia="zh-CN"/>
              </w:rPr>
              <w:t>（2）活动赛道全长不低于3公里，健步走全路段活动导示牌等氛围布置，体彩公益主题展示区不少于100平方米、特色农产品展示区不少于100平方米，趣味游戏区不少于100平方米的打造，活动导示牌不少于20个、公益售卖摊位不少于6个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en-US" w:eastAsia="zh-CN"/>
              </w:rPr>
              <w:t>（3）活动需为参与家庭发放活动装备包，内含主题T恤、体彩公益宣传品、活动须知、安全注意事项、活动打卡券、活动纪念奖牌等，活动装备包不少于150份。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en-US" w:eastAsia="zh-CN"/>
              </w:rPr>
              <w:t>（4）活动现场不少于4个游戏类别，活动用品共计不少于600份，用于开展活动互动使用。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en-US" w:eastAsia="zh-CN"/>
              </w:rPr>
              <w:t>（5）活动需配置专业人员负责策划组织，活动主持不少于1人、健身教练不少于2人；现场执行、现场安保、现场秩序维护、医疗保障人员共不少于10人。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en-US" w:eastAsia="zh-CN"/>
              </w:rPr>
              <w:t>（6）活动需进行新闻采编，并在不少于10个新闻媒体、门户网站上进行宣传发布。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826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商务要求</w:t>
            </w:r>
          </w:p>
          <w:p>
            <w:pPr>
              <w:spacing w:line="360" w:lineRule="auto"/>
              <w:rPr>
                <w:rFonts w:asci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Cs/>
                <w:color w:val="000000"/>
                <w:sz w:val="24"/>
              </w:rPr>
              <w:t xml:space="preserve">    （一）项目基本要求:</w:t>
            </w:r>
          </w:p>
          <w:p>
            <w:pPr>
              <w:spacing w:line="360" w:lineRule="auto"/>
              <w:ind w:firstLine="509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1.</w:t>
            </w:r>
            <w:r>
              <w:rPr>
                <w:rFonts w:hint="eastAsia" w:ascii="仿宋" w:eastAsia="仿宋"/>
                <w:sz w:val="24"/>
              </w:rPr>
              <w:t>服务商具有组织类似项目的经验，</w:t>
            </w:r>
            <w:r>
              <w:rPr>
                <w:rFonts w:ascii="仿宋" w:eastAsia="仿宋"/>
                <w:sz w:val="24"/>
              </w:rPr>
              <w:t>服务商</w:t>
            </w:r>
            <w:r>
              <w:rPr>
                <w:rFonts w:hint="eastAsia" w:ascii="仿宋" w:eastAsia="仿宋"/>
                <w:sz w:val="24"/>
              </w:rPr>
              <w:t>取得与项目对应的策划能力、</w:t>
            </w:r>
            <w:r>
              <w:rPr>
                <w:rFonts w:hint="eastAsia" w:ascii="仿宋" w:eastAsia="仿宋"/>
                <w:sz w:val="24"/>
                <w:lang w:eastAsia="zh-CN"/>
              </w:rPr>
              <w:t>组织</w:t>
            </w:r>
            <w:r>
              <w:rPr>
                <w:rFonts w:hint="eastAsia" w:ascii="仿宋" w:eastAsia="仿宋"/>
                <w:sz w:val="24"/>
              </w:rPr>
              <w:t>能力和执行能力。</w:t>
            </w:r>
            <w:r>
              <w:rPr>
                <w:rFonts w:ascii="仿宋" w:eastAsia="仿宋"/>
                <w:sz w:val="24"/>
              </w:rPr>
              <w:t>中选服务商</w:t>
            </w:r>
            <w:r>
              <w:rPr>
                <w:rFonts w:hint="eastAsia" w:ascii="仿宋" w:eastAsia="仿宋"/>
                <w:sz w:val="24"/>
              </w:rPr>
              <w:t>应结合四川省体育彩票管理中心2023年“体彩乐跑美丽乡村”品牌公益活动</w:t>
            </w:r>
            <w:r>
              <w:rPr>
                <w:rFonts w:ascii="仿宋" w:eastAsia="仿宋"/>
                <w:sz w:val="24"/>
              </w:rPr>
              <w:t>的</w:t>
            </w:r>
            <w:r>
              <w:rPr>
                <w:rFonts w:hint="eastAsia" w:ascii="仿宋" w:eastAsia="仿宋"/>
                <w:sz w:val="24"/>
              </w:rPr>
              <w:t>需求和特点，制定并提供符合采购</w:t>
            </w:r>
            <w:r>
              <w:rPr>
                <w:rFonts w:ascii="仿宋" w:eastAsia="仿宋"/>
                <w:sz w:val="24"/>
              </w:rPr>
              <w:t>方</w:t>
            </w:r>
            <w:r>
              <w:rPr>
                <w:rFonts w:hint="eastAsia" w:ascii="仿宋" w:eastAsia="仿宋"/>
                <w:sz w:val="24"/>
              </w:rPr>
              <w:t>特点和满足采购</w:t>
            </w:r>
            <w:r>
              <w:rPr>
                <w:rFonts w:ascii="仿宋" w:eastAsia="仿宋"/>
                <w:sz w:val="24"/>
              </w:rPr>
              <w:t>方</w:t>
            </w:r>
            <w:r>
              <w:rPr>
                <w:rFonts w:hint="eastAsia" w:ascii="仿宋" w:eastAsia="仿宋"/>
                <w:sz w:val="24"/>
              </w:rPr>
              <w:t>要求的详细服务方案、活动企划方案和售后服务方案（含应急处置预案）</w:t>
            </w:r>
            <w:r>
              <w:rPr>
                <w:rFonts w:hint="eastAsia" w:asci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z w:val="24"/>
              </w:rPr>
              <w:t>经采购方确认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活动执行方案</w:t>
            </w:r>
            <w:r>
              <w:rPr>
                <w:rFonts w:hint="eastAsia" w:ascii="仿宋" w:hAnsi="仿宋" w:eastAsia="仿宋" w:cs="宋体"/>
                <w:sz w:val="24"/>
              </w:rPr>
              <w:t>后，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服务</w:t>
            </w:r>
            <w:r>
              <w:rPr>
                <w:rFonts w:hint="eastAsia" w:ascii="仿宋" w:hAnsi="仿宋" w:eastAsia="仿宋" w:cs="宋体"/>
                <w:sz w:val="24"/>
              </w:rPr>
              <w:t>商须委派专人到采购方办公地点现场当面签订合同（采购方办公地点：四川省德阳市体育场南门综合楼四楼四川体彩德阳分中心）</w:t>
            </w:r>
            <w:r>
              <w:rPr>
                <w:rFonts w:hint="eastAsia" w:ascii="仿宋" w:eastAsia="仿宋"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2.服务商</w:t>
            </w:r>
            <w:r>
              <w:rPr>
                <w:rFonts w:hint="eastAsia" w:ascii="仿宋" w:eastAsia="仿宋"/>
                <w:sz w:val="24"/>
              </w:rPr>
              <w:t>知晓并遵守服务本项目需要遵守的法律法规、产品特点和市场规律，所提供的产品和服务必须坚持弘扬社会正能量、积极开展正面宣传，实现中国体育彩票宣传的专业性、实用性，并具有合法性。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3.服务商提供的宣传文案、美工设计、图片制作不得侵害第三方知识产权，否则自行承担相关责任。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4.项目所有宣传作品（包括但不限于文案、通稿、图片）所有权归采购方所有，供应商不得擅自使用或对外发布，否则自行承担相关责任。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5</w:t>
            </w:r>
            <w:r>
              <w:rPr>
                <w:rFonts w:ascii="仿宋" w:eastAsia="仿宋"/>
                <w:sz w:val="24"/>
              </w:rPr>
              <w:t>.本项目</w:t>
            </w:r>
            <w:r>
              <w:rPr>
                <w:rFonts w:hint="eastAsia" w:ascii="仿宋" w:eastAsia="仿宋"/>
                <w:sz w:val="24"/>
              </w:rPr>
              <w:t>采购费用包含活动的策划、组织、实施费、宣传设计费、人工费、税金等所有税、费，采购</w:t>
            </w:r>
            <w:r>
              <w:rPr>
                <w:rFonts w:ascii="仿宋" w:eastAsia="仿宋"/>
                <w:sz w:val="24"/>
              </w:rPr>
              <w:t>方</w:t>
            </w:r>
            <w:r>
              <w:rPr>
                <w:rFonts w:hint="eastAsia" w:ascii="仿宋" w:eastAsia="仿宋"/>
                <w:sz w:val="24"/>
              </w:rPr>
              <w:t>不再支付超出报价的任何费用。</w:t>
            </w:r>
          </w:p>
          <w:p>
            <w:pPr>
              <w:spacing w:line="360" w:lineRule="auto"/>
              <w:ind w:firstLine="480" w:firstLineChars="200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Cs/>
                <w:color w:val="000000"/>
                <w:sz w:val="24"/>
              </w:rPr>
              <w:t>（二）付款方式、验收标准：</w:t>
            </w:r>
            <w:r>
              <w:rPr>
                <w:rFonts w:hint="eastAsia" w:ascii="仿宋" w:eastAsia="仿宋" w:cs="仿宋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仿宋" w:eastAsia="仿宋" w:cs="仿宋"/>
                <w:bCs/>
                <w:sz w:val="24"/>
              </w:rPr>
            </w:pPr>
            <w:r>
              <w:rPr>
                <w:rFonts w:hint="eastAsia" w:ascii="仿宋" w:eastAsia="仿宋" w:cs="仿宋"/>
                <w:bCs/>
                <w:color w:val="000000"/>
                <w:sz w:val="24"/>
              </w:rPr>
              <w:t>1.付款方式：先服务后付款。</w:t>
            </w:r>
            <w:r>
              <w:rPr>
                <w:rFonts w:ascii="仿宋" w:eastAsia="仿宋" w:cs="仿宋"/>
                <w:bCs/>
                <w:color w:val="000000"/>
                <w:sz w:val="24"/>
              </w:rPr>
              <w:t>服务商完成本</w:t>
            </w:r>
            <w:r>
              <w:rPr>
                <w:rFonts w:hint="eastAsia" w:ascii="仿宋" w:eastAsia="仿宋" w:cs="仿宋"/>
                <w:bCs/>
                <w:color w:val="000000"/>
                <w:sz w:val="24"/>
              </w:rPr>
              <w:t>项目实施并</w:t>
            </w:r>
            <w:r>
              <w:rPr>
                <w:rFonts w:ascii="仿宋" w:eastAsia="仿宋" w:cs="仿宋"/>
                <w:bCs/>
                <w:color w:val="000000"/>
                <w:sz w:val="24"/>
              </w:rPr>
              <w:t>经采购方</w:t>
            </w:r>
            <w:r>
              <w:rPr>
                <w:rFonts w:hint="eastAsia" w:ascii="仿宋" w:eastAsia="仿宋" w:cs="仿宋"/>
                <w:bCs/>
                <w:color w:val="000000"/>
                <w:sz w:val="24"/>
              </w:rPr>
              <w:t>验收合格后，</w:t>
            </w:r>
            <w:r>
              <w:rPr>
                <w:rFonts w:ascii="仿宋" w:eastAsia="仿宋" w:cs="仿宋"/>
                <w:bCs/>
                <w:color w:val="000000"/>
                <w:sz w:val="24"/>
              </w:rPr>
              <w:t>采购方</w:t>
            </w:r>
            <w:r>
              <w:rPr>
                <w:rFonts w:hint="eastAsia" w:ascii="仿宋" w:eastAsia="仿宋" w:cs="仿宋"/>
                <w:bCs/>
                <w:color w:val="000000"/>
                <w:sz w:val="24"/>
              </w:rPr>
              <w:t>向中选服务商支付合同金额100%的费用，具体</w:t>
            </w:r>
            <w:r>
              <w:rPr>
                <w:rFonts w:ascii="仿宋" w:eastAsia="仿宋" w:cs="仿宋"/>
                <w:bCs/>
                <w:color w:val="000000"/>
                <w:sz w:val="24"/>
              </w:rPr>
              <w:t>金额</w:t>
            </w:r>
            <w:r>
              <w:rPr>
                <w:rFonts w:hint="eastAsia" w:ascii="仿宋" w:eastAsia="仿宋" w:cs="仿宋"/>
                <w:bCs/>
                <w:color w:val="000000"/>
                <w:sz w:val="24"/>
              </w:rPr>
              <w:t>以合同签订为准。</w:t>
            </w:r>
          </w:p>
          <w:p>
            <w:pPr>
              <w:spacing w:line="360" w:lineRule="auto"/>
              <w:ind w:firstLine="480" w:firstLineChars="200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hint="eastAsia" w:ascii="仿宋" w:eastAsia="仿宋" w:cs="仿宋"/>
                <w:bCs/>
                <w:sz w:val="24"/>
              </w:rPr>
              <w:t>2.付款前由服务商先提供正规有效完整的增值税普通发票</w:t>
            </w:r>
            <w:r>
              <w:rPr>
                <w:rFonts w:hint="eastAsia" w:ascii="仿宋" w:eastAsia="仿宋" w:cs="仿宋"/>
                <w:bCs/>
                <w:sz w:val="24"/>
                <w:lang w:eastAsia="zh-CN"/>
              </w:rPr>
              <w:t>及项目结项报告</w:t>
            </w:r>
            <w:r>
              <w:rPr>
                <w:rFonts w:hint="eastAsia" w:ascii="仿宋" w:eastAsia="仿宋" w:cs="仿宋"/>
                <w:bCs/>
                <w:sz w:val="24"/>
              </w:rPr>
              <w:t>，</w:t>
            </w:r>
            <w:r>
              <w:rPr>
                <w:rFonts w:ascii="仿宋" w:eastAsia="仿宋" w:cs="仿宋"/>
                <w:bCs/>
                <w:sz w:val="24"/>
              </w:rPr>
              <w:t>采购方</w:t>
            </w:r>
            <w:r>
              <w:rPr>
                <w:rFonts w:hint="eastAsia" w:ascii="仿宋" w:eastAsia="仿宋" w:cs="仿宋"/>
                <w:bCs/>
                <w:sz w:val="24"/>
              </w:rPr>
              <w:t>15个工作日内转账支付。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0826" w:type="dxa"/>
            <w:gridSpan w:val="4"/>
            <w:vAlign w:val="center"/>
          </w:tcPr>
          <w:p>
            <w:pPr>
              <w:spacing w:line="360" w:lineRule="auto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四、售后服务要求：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</w:t>
            </w:r>
            <w:r>
              <w:rPr>
                <w:rFonts w:ascii="仿宋" w:eastAsia="仿宋"/>
                <w:sz w:val="24"/>
              </w:rPr>
              <w:t>一</w:t>
            </w:r>
            <w:r>
              <w:rPr>
                <w:rFonts w:hint="eastAsia" w:ascii="仿宋" w:eastAsia="仿宋"/>
                <w:sz w:val="24"/>
              </w:rPr>
              <w:t>）</w:t>
            </w:r>
            <w:r>
              <w:rPr>
                <w:rFonts w:ascii="仿宋" w:eastAsia="仿宋"/>
                <w:sz w:val="24"/>
              </w:rPr>
              <w:t>服务商</w:t>
            </w:r>
            <w:r>
              <w:rPr>
                <w:rFonts w:hint="eastAsia" w:ascii="仿宋" w:eastAsia="仿宋"/>
                <w:sz w:val="24"/>
              </w:rPr>
              <w:t>必须针对本项目组建专门的服务团队，团队主要成员必须具备本项目所需的专业知识和多年的实践经验，并在类似项目中担任相同角色。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eastAsia="仿宋"/>
                <w:kern w:val="28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</w:t>
            </w:r>
            <w:r>
              <w:rPr>
                <w:rFonts w:ascii="仿宋" w:eastAsia="仿宋"/>
                <w:sz w:val="24"/>
              </w:rPr>
              <w:t>二</w:t>
            </w:r>
            <w:r>
              <w:rPr>
                <w:rFonts w:hint="eastAsia" w:ascii="仿宋" w:eastAsia="仿宋"/>
                <w:sz w:val="24"/>
              </w:rPr>
              <w:t>）根据采购方需求，</w:t>
            </w:r>
            <w:r>
              <w:rPr>
                <w:rFonts w:ascii="仿宋" w:eastAsia="仿宋"/>
                <w:sz w:val="24"/>
              </w:rPr>
              <w:t>服务商在</w:t>
            </w:r>
            <w:r>
              <w:rPr>
                <w:rFonts w:hint="eastAsia" w:ascii="仿宋" w:eastAsia="仿宋"/>
                <w:sz w:val="24"/>
              </w:rPr>
              <w:t>工作日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eastAsia="仿宋"/>
                <w:sz w:val="24"/>
              </w:rPr>
              <w:t>个小时内给予回应。非工作日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eastAsia="仿宋"/>
                <w:sz w:val="24"/>
              </w:rPr>
              <w:t>个小时</w:t>
            </w:r>
            <w:r>
              <w:rPr>
                <w:rFonts w:ascii="仿宋" w:eastAsia="仿宋"/>
                <w:sz w:val="24"/>
              </w:rPr>
              <w:t>内</w:t>
            </w:r>
            <w:r>
              <w:rPr>
                <w:rFonts w:hint="eastAsia" w:ascii="仿宋" w:eastAsia="仿宋"/>
                <w:sz w:val="24"/>
              </w:rPr>
              <w:t>给予回应。</w:t>
            </w:r>
          </w:p>
          <w:p>
            <w:pPr>
              <w:spacing w:line="360" w:lineRule="auto"/>
              <w:jc w:val="lef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若因突发状况导致无法执行，</w:t>
            </w:r>
            <w:r>
              <w:rPr>
                <w:rFonts w:ascii="仿宋" w:eastAsia="仿宋"/>
                <w:sz w:val="24"/>
              </w:rPr>
              <w:t>服务商</w:t>
            </w:r>
            <w:r>
              <w:rPr>
                <w:rFonts w:hint="eastAsia" w:ascii="仿宋" w:eastAsia="仿宋"/>
                <w:sz w:val="24"/>
              </w:rPr>
              <w:t>需1个工作日内提供书面说明材料，并在取得采购</w:t>
            </w:r>
            <w:r>
              <w:rPr>
                <w:rFonts w:ascii="仿宋" w:eastAsia="仿宋"/>
                <w:sz w:val="24"/>
              </w:rPr>
              <w:t>方</w:t>
            </w:r>
            <w:r>
              <w:rPr>
                <w:rFonts w:hint="eastAsia" w:ascii="仿宋" w:eastAsia="仿宋"/>
                <w:sz w:val="24"/>
              </w:rPr>
              <w:t>同意后进行相应调整。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（三）</w:t>
            </w:r>
            <w:r>
              <w:rPr>
                <w:rFonts w:hint="eastAsia" w:ascii="仿宋" w:eastAsia="仿宋"/>
                <w:sz w:val="24"/>
              </w:rPr>
              <w:t>本地化服务：</w:t>
            </w:r>
            <w:r>
              <w:rPr>
                <w:rFonts w:ascii="仿宋" w:eastAsia="仿宋"/>
                <w:sz w:val="24"/>
              </w:rPr>
              <w:t>服务商</w:t>
            </w:r>
            <w:r>
              <w:rPr>
                <w:rFonts w:hint="eastAsia" w:ascii="仿宋" w:eastAsia="仿宋"/>
                <w:sz w:val="24"/>
              </w:rPr>
              <w:t>具备与项目对应并结合中国体育彩票公益特点的本地化服务团队，</w:t>
            </w:r>
            <w:r>
              <w:rPr>
                <w:rFonts w:ascii="仿宋" w:eastAsia="仿宋"/>
                <w:sz w:val="24"/>
              </w:rPr>
              <w:t>且须在售后服务方案上</w:t>
            </w:r>
            <w:r>
              <w:rPr>
                <w:rFonts w:hint="eastAsia" w:ascii="仿宋" w:eastAsia="仿宋"/>
                <w:sz w:val="24"/>
              </w:rPr>
              <w:t>指定项目负责人并说明项目团队人员名单并附人员角色分配。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0826" w:type="dxa"/>
            <w:gridSpan w:val="4"/>
            <w:vAlign w:val="center"/>
          </w:tcPr>
          <w:p>
            <w:pPr>
              <w:spacing w:line="360" w:lineRule="auto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五、比选方式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（一）本项目比选方式为：综合评分法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（二）采购方对供应商进行资格和符合性审查，合格供应商达到三家及以上，进入正式比选环节。 比选结果按评审后综合得分由高到低顺序排名，排名第一的成为本次项目的中选供应商；若出现得分相同情况，则报价更低的一家成为中选供应商。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（三）评选细则及标准，详见评审标准表（满分100分）</w:t>
            </w:r>
          </w:p>
        </w:tc>
      </w:tr>
    </w:tbl>
    <w:p>
      <w:pPr>
        <w:spacing w:before="312" w:beforeLines="100" w:after="312" w:afterLines="100" w:line="360" w:lineRule="auto"/>
        <w:jc w:val="center"/>
        <w:rPr>
          <w:rFonts w:ascii="微软雅黑" w:eastAsia="微软雅黑"/>
          <w:spacing w:val="106"/>
          <w:kern w:val="0"/>
          <w:sz w:val="32"/>
        </w:rPr>
      </w:pPr>
    </w:p>
    <w:p>
      <w:pPr>
        <w:spacing w:before="312" w:beforeLines="100" w:after="312" w:afterLines="100" w:line="360" w:lineRule="auto"/>
        <w:rPr>
          <w:rFonts w:ascii="微软雅黑" w:eastAsia="微软雅黑"/>
          <w:kern w:val="0"/>
          <w:sz w:val="32"/>
        </w:rPr>
      </w:pPr>
    </w:p>
    <w:p>
      <w:pPr>
        <w:spacing w:before="312" w:beforeLines="100" w:after="312" w:afterLines="100" w:line="360" w:lineRule="auto"/>
        <w:rPr>
          <w:rFonts w:ascii="微软雅黑" w:eastAsia="微软雅黑"/>
          <w:kern w:val="0"/>
          <w:sz w:val="32"/>
        </w:rPr>
      </w:pPr>
    </w:p>
    <w:p>
      <w:pPr>
        <w:spacing w:before="312" w:beforeLines="100" w:after="312" w:afterLines="100" w:line="360" w:lineRule="auto"/>
        <w:rPr>
          <w:rFonts w:ascii="微软雅黑" w:eastAsia="微软雅黑"/>
          <w:kern w:val="0"/>
          <w:sz w:val="32"/>
        </w:rPr>
      </w:pPr>
    </w:p>
    <w:p>
      <w:pPr>
        <w:spacing w:before="312" w:beforeLines="100" w:after="312" w:afterLines="100" w:line="360" w:lineRule="auto"/>
        <w:rPr>
          <w:rFonts w:ascii="微软雅黑" w:eastAsia="微软雅黑"/>
          <w:b/>
          <w:bCs/>
          <w:kern w:val="0"/>
          <w:sz w:val="32"/>
        </w:rPr>
      </w:pPr>
    </w:p>
    <w:p>
      <w:pPr>
        <w:spacing w:before="312" w:beforeLines="100" w:after="312" w:afterLines="100" w:line="360" w:lineRule="auto"/>
        <w:rPr>
          <w:rFonts w:ascii="微软雅黑" w:eastAsia="微软雅黑"/>
          <w:b/>
          <w:bCs/>
          <w:kern w:val="0"/>
          <w:sz w:val="32"/>
        </w:rPr>
      </w:pPr>
    </w:p>
    <w:p>
      <w:pPr>
        <w:spacing w:before="312" w:beforeLines="100" w:after="312" w:afterLines="100" w:line="360" w:lineRule="auto"/>
        <w:rPr>
          <w:rFonts w:ascii="微软雅黑" w:eastAsia="微软雅黑"/>
          <w:b/>
          <w:bCs/>
          <w:kern w:val="0"/>
          <w:sz w:val="32"/>
        </w:rPr>
      </w:pPr>
    </w:p>
    <w:p>
      <w:pPr>
        <w:spacing w:before="312" w:beforeLines="100" w:after="312" w:afterLines="100" w:line="360" w:lineRule="auto"/>
        <w:rPr>
          <w:rFonts w:ascii="微软雅黑" w:eastAsia="微软雅黑"/>
          <w:b/>
          <w:bCs/>
          <w:kern w:val="0"/>
          <w:sz w:val="32"/>
        </w:rPr>
      </w:pPr>
    </w:p>
    <w:p>
      <w:pPr>
        <w:spacing w:before="312" w:beforeLines="100" w:after="312" w:afterLines="100" w:line="360" w:lineRule="auto"/>
        <w:rPr>
          <w:rFonts w:ascii="微软雅黑" w:eastAsia="微软雅黑"/>
          <w:b/>
          <w:bCs/>
          <w:kern w:val="0"/>
          <w:sz w:val="32"/>
        </w:rPr>
      </w:pPr>
    </w:p>
    <w:p>
      <w:pPr>
        <w:tabs>
          <w:tab w:val="left" w:pos="831"/>
        </w:tabs>
        <w:bidi w:val="0"/>
        <w:jc w:val="left"/>
        <w:rPr>
          <w:lang w:val="en-US" w:eastAsia="zh-CN"/>
        </w:rPr>
      </w:pPr>
    </w:p>
    <w:p>
      <w:pPr>
        <w:tabs>
          <w:tab w:val="left" w:pos="831"/>
        </w:tabs>
        <w:bidi w:val="0"/>
        <w:jc w:val="left"/>
        <w:rPr>
          <w:lang w:val="en-US" w:eastAsia="zh-CN"/>
        </w:rPr>
      </w:pPr>
    </w:p>
    <w:p>
      <w:pPr>
        <w:tabs>
          <w:tab w:val="left" w:pos="831"/>
        </w:tabs>
        <w:bidi w:val="0"/>
        <w:jc w:val="center"/>
        <w:rPr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评 审 标 准</w:t>
      </w:r>
    </w:p>
    <w:p>
      <w:pPr>
        <w:tabs>
          <w:tab w:val="left" w:pos="831"/>
        </w:tabs>
        <w:bidi w:val="0"/>
        <w:jc w:val="left"/>
        <w:rPr>
          <w:lang w:val="en-US" w:eastAsia="zh-CN"/>
        </w:rPr>
      </w:pPr>
    </w:p>
    <w:tbl>
      <w:tblPr>
        <w:tblStyle w:val="10"/>
        <w:tblW w:w="10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734"/>
        <w:gridCol w:w="1290"/>
        <w:gridCol w:w="4536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vAlign w:val="center"/>
          </w:tcPr>
          <w:p>
            <w:pPr>
              <w:pStyle w:val="8"/>
              <w:snapToGrid/>
              <w:spacing w:before="78" w:beforeLines="25" w:after="78" w:afterLines="25"/>
              <w:jc w:val="center"/>
              <w:rPr>
                <w:rFonts w:ascii="方正黑体_GBK" w:hAnsi="方正黑体_GBK" w:eastAsia="方正黑体_GBK" w:cs="方正黑体_GBK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  <w:t>序号</w:t>
            </w:r>
          </w:p>
        </w:tc>
        <w:tc>
          <w:tcPr>
            <w:tcW w:w="1734" w:type="dxa"/>
            <w:vAlign w:val="center"/>
          </w:tcPr>
          <w:p>
            <w:pPr>
              <w:pStyle w:val="8"/>
              <w:snapToGrid/>
              <w:spacing w:before="78" w:beforeLines="25" w:after="78" w:afterLines="25"/>
              <w:jc w:val="center"/>
              <w:rPr>
                <w:rFonts w:ascii="方正黑体_GBK" w:hAnsi="方正黑体_GBK" w:eastAsia="方正黑体_GBK" w:cs="方正黑体_GBK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  <w:t>评分因素</w:t>
            </w:r>
          </w:p>
        </w:tc>
        <w:tc>
          <w:tcPr>
            <w:tcW w:w="1290" w:type="dxa"/>
            <w:vAlign w:val="center"/>
          </w:tcPr>
          <w:p>
            <w:pPr>
              <w:pStyle w:val="8"/>
              <w:snapToGrid/>
              <w:spacing w:before="78" w:beforeLines="25" w:after="78" w:afterLines="25"/>
              <w:jc w:val="center"/>
              <w:rPr>
                <w:rFonts w:ascii="方正黑体_GBK" w:hAnsi="方正黑体_GBK" w:eastAsia="方正黑体_GBK" w:cs="方正黑体_GBK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  <w:t>分值</w:t>
            </w:r>
          </w:p>
        </w:tc>
        <w:tc>
          <w:tcPr>
            <w:tcW w:w="4536" w:type="dxa"/>
            <w:vAlign w:val="center"/>
          </w:tcPr>
          <w:p>
            <w:pPr>
              <w:pStyle w:val="8"/>
              <w:snapToGrid/>
              <w:spacing w:before="78" w:beforeLines="25" w:after="78" w:afterLines="25"/>
              <w:jc w:val="center"/>
              <w:rPr>
                <w:rFonts w:ascii="方正黑体_GBK" w:hAnsi="方正黑体_GBK" w:eastAsia="方正黑体_GBK" w:cs="方正黑体_GBK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  <w:t>评分标准</w:t>
            </w:r>
          </w:p>
        </w:tc>
        <w:tc>
          <w:tcPr>
            <w:tcW w:w="2040" w:type="dxa"/>
          </w:tcPr>
          <w:p>
            <w:pPr>
              <w:pStyle w:val="8"/>
              <w:snapToGrid/>
              <w:spacing w:before="78" w:beforeLines="25" w:after="78" w:afterLines="25"/>
              <w:jc w:val="center"/>
              <w:rPr>
                <w:rFonts w:ascii="方正黑体_GBK" w:hAnsi="方正黑体_GBK" w:eastAsia="方正黑体_GBK" w:cs="方正黑体_GBK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70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34" w:type="dxa"/>
            <w:vAlign w:val="center"/>
          </w:tcPr>
          <w:p>
            <w:pPr>
              <w:spacing w:before="78" w:after="78"/>
              <w:jc w:val="center"/>
              <w:rPr>
                <w:rFonts w:eastAsia="方正仿宋_GBK"/>
                <w:sz w:val="18"/>
                <w:szCs w:val="21"/>
              </w:rPr>
            </w:pPr>
            <w:r>
              <w:rPr>
                <w:rFonts w:hint="eastAsia" w:ascii="宋体" w:cs="宋体"/>
                <w:sz w:val="18"/>
                <w:szCs w:val="18"/>
                <w:lang w:val="zh-CN" w:eastAsia="zh-CN" w:bidi="ar-SA"/>
              </w:rPr>
              <w:t>报价单价格</w:t>
            </w:r>
          </w:p>
        </w:tc>
        <w:tc>
          <w:tcPr>
            <w:tcW w:w="1290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30分</w:t>
            </w:r>
          </w:p>
        </w:tc>
        <w:tc>
          <w:tcPr>
            <w:tcW w:w="4536" w:type="dxa"/>
            <w:vAlign w:val="center"/>
          </w:tcPr>
          <w:p>
            <w:pPr>
              <w:pStyle w:val="8"/>
              <w:snapToGrid/>
              <w:spacing w:before="78" w:after="78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以本次有效的最低投标报价为基准价，投标报价得分=（基准价/投标报价）*30分*100%</w:t>
            </w:r>
          </w:p>
        </w:tc>
        <w:tc>
          <w:tcPr>
            <w:tcW w:w="2040" w:type="dxa"/>
            <w:vAlign w:val="center"/>
          </w:tcPr>
          <w:p>
            <w:pPr>
              <w:pStyle w:val="8"/>
              <w:snapToGrid/>
              <w:spacing w:before="78" w:after="78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小型和微型企业参与项目比选不做价格扣除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70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34" w:type="dxa"/>
            <w:vAlign w:val="center"/>
          </w:tcPr>
          <w:p>
            <w:pPr>
              <w:spacing w:before="78" w:after="78"/>
              <w:jc w:val="center"/>
              <w:rPr>
                <w:rFonts w:eastAsia="方正仿宋_GBK"/>
                <w:sz w:val="18"/>
                <w:szCs w:val="21"/>
                <w:lang w:val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 w:bidi="ar-SA"/>
              </w:rPr>
              <w:t>项目实施服务方案</w:t>
            </w:r>
          </w:p>
        </w:tc>
        <w:tc>
          <w:tcPr>
            <w:tcW w:w="1290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/>
                <w:sz w:val="18"/>
                <w:szCs w:val="18"/>
              </w:rPr>
              <w:t>分</w:t>
            </w:r>
          </w:p>
        </w:tc>
        <w:tc>
          <w:tcPr>
            <w:tcW w:w="4536" w:type="dxa"/>
            <w:vAlign w:val="center"/>
          </w:tcPr>
          <w:p>
            <w:pPr>
              <w:pStyle w:val="8"/>
              <w:snapToGrid/>
              <w:spacing w:before="78" w:after="78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供应商针对项目提供的服务方案包含：①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活动落地方案；</w:t>
            </w:r>
            <w:r>
              <w:rPr>
                <w:rFonts w:hint="eastAsia" w:ascii="宋体"/>
                <w:sz w:val="18"/>
                <w:szCs w:val="18"/>
              </w:rPr>
              <w:t>②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服务保障措施</w:t>
            </w:r>
            <w:r>
              <w:rPr>
                <w:rFonts w:hint="eastAsia" w:ascii="宋体"/>
                <w:sz w:val="18"/>
                <w:szCs w:val="18"/>
              </w:rPr>
              <w:t>；③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活动开展</w:t>
            </w:r>
            <w:r>
              <w:rPr>
                <w:rFonts w:hint="eastAsia" w:ascii="宋体"/>
                <w:sz w:val="18"/>
                <w:szCs w:val="18"/>
              </w:rPr>
              <w:t>保障措施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及应急预案</w:t>
            </w:r>
            <w:r>
              <w:rPr>
                <w:rFonts w:hint="eastAsia" w:ascii="宋体"/>
                <w:sz w:val="18"/>
                <w:szCs w:val="18"/>
              </w:rPr>
              <w:t>，④售后服务方案，⑤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其他</w:t>
            </w:r>
            <w:r>
              <w:rPr>
                <w:rFonts w:hint="eastAsia" w:ascii="宋体"/>
                <w:sz w:val="18"/>
                <w:szCs w:val="18"/>
              </w:rPr>
              <w:t>附加增值服务。方案包含以上内容且内容完整的，得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/>
                <w:sz w:val="18"/>
                <w:szCs w:val="18"/>
              </w:rPr>
              <w:t>分。每缺少一项内容扣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/>
                <w:sz w:val="18"/>
                <w:szCs w:val="18"/>
              </w:rPr>
              <w:t>分，每有一处存在缺陷的扣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/>
                <w:sz w:val="18"/>
                <w:szCs w:val="18"/>
              </w:rPr>
              <w:t>分，扣完为止。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（缺陷是指：内容不完整、过于简略、与实际情况不符、表述不清晰、凭空编造、套用其他项目方案、内容前后不一致、前后逻辑错误、涉及的规范及标准错误、不符合采购需求、不可能实现的情形等任意一种情形。）</w:t>
            </w:r>
          </w:p>
        </w:tc>
        <w:tc>
          <w:tcPr>
            <w:tcW w:w="2040" w:type="dxa"/>
            <w:vAlign w:val="center"/>
          </w:tcPr>
          <w:p>
            <w:pPr>
              <w:pStyle w:val="8"/>
              <w:snapToGrid/>
              <w:spacing w:before="78" w:after="78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根据项目技术需求商务要求等要求提供项目的整套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实施服务方案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70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34" w:type="dxa"/>
            <w:vAlign w:val="center"/>
          </w:tcPr>
          <w:p>
            <w:pPr>
              <w:spacing w:before="78" w:after="78"/>
              <w:jc w:val="center"/>
              <w:rPr>
                <w:rFonts w:hint="eastAsia" w:ascii="宋体" w:cs="宋体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cs="宋体"/>
                <w:sz w:val="18"/>
                <w:szCs w:val="18"/>
                <w:lang w:val="zh-CN" w:eastAsia="zh-CN" w:bidi="ar-SA"/>
              </w:rPr>
              <w:t>特色村落</w:t>
            </w:r>
          </w:p>
        </w:tc>
        <w:tc>
          <w:tcPr>
            <w:tcW w:w="1290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536" w:type="dxa"/>
            <w:vAlign w:val="center"/>
          </w:tcPr>
          <w:p>
            <w:pPr>
              <w:pStyle w:val="8"/>
              <w:snapToGrid/>
              <w:spacing w:before="78" w:after="78"/>
              <w:jc w:val="both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供应商根据活动要求提供活动具体实施的特色村落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个及该村落综合情况展示1份，内容包含：①活动场地承载能力；②健步走全路段步道安全情况；③村落特色情况介绍。情况展示包含以上内容且内容完整的，得9分，每缺少一项内容扣3分。每有一处存在缺陷的扣1分，扣完为止。（缺陷是指：内容不完整、与实际情况不符、凭空编造、不符合采购需求等）</w:t>
            </w:r>
          </w:p>
        </w:tc>
        <w:tc>
          <w:tcPr>
            <w:tcW w:w="2040" w:type="dxa"/>
            <w:vAlign w:val="center"/>
          </w:tcPr>
          <w:p>
            <w:pPr>
              <w:pStyle w:val="8"/>
              <w:snapToGrid/>
              <w:spacing w:before="78" w:after="78"/>
              <w:jc w:val="both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根据项目技术需求商务要求等要求提供项目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商业综合体完整的情况展示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70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34" w:type="dxa"/>
            <w:vAlign w:val="center"/>
          </w:tcPr>
          <w:p>
            <w:pPr>
              <w:spacing w:before="78" w:after="78"/>
              <w:jc w:val="center"/>
              <w:rPr>
                <w:rFonts w:eastAsia="方正仿宋_GBK"/>
                <w:sz w:val="18"/>
                <w:szCs w:val="21"/>
                <w:lang w:val="zh-CN"/>
              </w:rPr>
            </w:pPr>
            <w:r>
              <w:rPr>
                <w:rFonts w:hint="eastAsia" w:ascii="宋体" w:cs="宋体"/>
                <w:sz w:val="18"/>
                <w:szCs w:val="18"/>
                <w:lang w:val="zh-CN" w:eastAsia="zh-CN" w:bidi="ar-SA"/>
              </w:rPr>
              <w:t>技术需求承诺</w:t>
            </w:r>
          </w:p>
        </w:tc>
        <w:tc>
          <w:tcPr>
            <w:tcW w:w="1290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/>
                <w:sz w:val="18"/>
                <w:szCs w:val="18"/>
              </w:rPr>
              <w:t>分</w:t>
            </w:r>
          </w:p>
        </w:tc>
        <w:tc>
          <w:tcPr>
            <w:tcW w:w="4536" w:type="dxa"/>
            <w:vAlign w:val="center"/>
          </w:tcPr>
          <w:p>
            <w:pPr>
              <w:pStyle w:val="8"/>
              <w:snapToGrid/>
              <w:spacing w:before="78" w:after="78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完全满足比选文件的两项技术服务要求得10分，有一条不满足扣5分，扣完为止。</w:t>
            </w:r>
          </w:p>
        </w:tc>
        <w:tc>
          <w:tcPr>
            <w:tcW w:w="2040" w:type="dxa"/>
            <w:vAlign w:val="center"/>
          </w:tcPr>
          <w:p>
            <w:pPr>
              <w:pStyle w:val="8"/>
              <w:snapToGrid/>
              <w:spacing w:before="78" w:after="78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供应商需提供自制承诺函并加盖鲜章，不提供不得分。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70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34" w:type="dxa"/>
            <w:vAlign w:val="center"/>
          </w:tcPr>
          <w:p>
            <w:pPr>
              <w:spacing w:before="78" w:after="78"/>
              <w:jc w:val="center"/>
              <w:rPr>
                <w:rFonts w:eastAsia="方正仿宋_GBK"/>
                <w:sz w:val="18"/>
                <w:szCs w:val="21"/>
                <w:lang w:val="zh-CN"/>
              </w:rPr>
            </w:pPr>
            <w:r>
              <w:rPr>
                <w:rFonts w:hint="eastAsia" w:ascii="宋体" w:cs="宋体"/>
                <w:sz w:val="18"/>
                <w:szCs w:val="18"/>
                <w:lang w:val="zh-CN" w:eastAsia="zh-CN" w:bidi="ar-SA"/>
              </w:rPr>
              <w:t>商务及售后服务要求</w:t>
            </w:r>
          </w:p>
        </w:tc>
        <w:tc>
          <w:tcPr>
            <w:tcW w:w="1290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/>
                <w:sz w:val="18"/>
                <w:szCs w:val="18"/>
              </w:rPr>
              <w:t>分</w:t>
            </w:r>
          </w:p>
        </w:tc>
        <w:tc>
          <w:tcPr>
            <w:tcW w:w="4536" w:type="dxa"/>
            <w:vAlign w:val="center"/>
          </w:tcPr>
          <w:p>
            <w:pPr>
              <w:pStyle w:val="8"/>
              <w:snapToGrid/>
              <w:spacing w:before="78" w:after="78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  <w:lang w:bidi="ar-SA"/>
              </w:rPr>
              <w:t>完全满足比选文件的两项商务要求及三项售后服务要求的得</w:t>
            </w:r>
            <w:r>
              <w:rPr>
                <w:rFonts w:hint="eastAsia" w:ascii="宋体" w:cs="宋体"/>
                <w:sz w:val="18"/>
                <w:szCs w:val="18"/>
                <w:lang w:val="en-US" w:eastAsia="zh-CN" w:bidi="ar-SA"/>
              </w:rPr>
              <w:t>10</w:t>
            </w:r>
            <w:r>
              <w:rPr>
                <w:rFonts w:hint="eastAsia" w:ascii="宋体" w:cs="宋体"/>
                <w:sz w:val="18"/>
                <w:szCs w:val="18"/>
                <w:lang w:bidi="ar-SA"/>
              </w:rPr>
              <w:t>分，有一条不满足扣</w:t>
            </w:r>
            <w:r>
              <w:rPr>
                <w:rFonts w:hint="eastAsia" w:ascii="宋体" w:cs="宋体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宋体" w:cs="宋体"/>
                <w:sz w:val="18"/>
                <w:szCs w:val="18"/>
                <w:lang w:bidi="ar-SA"/>
              </w:rPr>
              <w:t>分，扣完为止。</w:t>
            </w:r>
          </w:p>
        </w:tc>
        <w:tc>
          <w:tcPr>
            <w:tcW w:w="2040" w:type="dxa"/>
            <w:vAlign w:val="center"/>
          </w:tcPr>
          <w:p>
            <w:pPr>
              <w:pStyle w:val="8"/>
              <w:snapToGrid/>
              <w:spacing w:before="78" w:after="78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供应商需提供自制承诺函并加盖鲜章，不提供不得分。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870" w:type="dxa"/>
            <w:vAlign w:val="center"/>
          </w:tcPr>
          <w:p>
            <w:pPr>
              <w:pStyle w:val="8"/>
              <w:snapToGrid/>
              <w:spacing w:before="78" w:after="78"/>
              <w:ind w:firstLine="180" w:firstLineChars="100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34" w:type="dxa"/>
            <w:vAlign w:val="center"/>
          </w:tcPr>
          <w:p>
            <w:pPr>
              <w:spacing w:before="78" w:after="78"/>
              <w:jc w:val="center"/>
              <w:rPr>
                <w:rFonts w:eastAsia="方正仿宋_GBK"/>
                <w:sz w:val="18"/>
                <w:szCs w:val="21"/>
                <w:lang w:val="zh-CN"/>
              </w:rPr>
            </w:pPr>
            <w:r>
              <w:rPr>
                <w:rFonts w:hint="eastAsia" w:ascii="宋体" w:cs="宋体"/>
                <w:sz w:val="18"/>
                <w:szCs w:val="18"/>
                <w:lang w:val="zh-CN" w:eastAsia="zh-CN" w:bidi="ar-SA"/>
              </w:rPr>
              <w:t>履约能力</w:t>
            </w:r>
          </w:p>
        </w:tc>
        <w:tc>
          <w:tcPr>
            <w:tcW w:w="1290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/>
                <w:sz w:val="18"/>
                <w:szCs w:val="18"/>
              </w:rPr>
              <w:t>分</w:t>
            </w:r>
          </w:p>
        </w:tc>
        <w:tc>
          <w:tcPr>
            <w:tcW w:w="4536" w:type="dxa"/>
            <w:vAlign w:val="center"/>
          </w:tcPr>
          <w:p>
            <w:pPr>
              <w:pStyle w:val="8"/>
              <w:snapToGrid/>
              <w:spacing w:before="78" w:after="78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提供近三年类似合作案例，每提供一个案例得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/>
                <w:sz w:val="18"/>
                <w:szCs w:val="18"/>
              </w:rPr>
              <w:t>分，最多得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/>
                <w:sz w:val="18"/>
                <w:szCs w:val="18"/>
              </w:rPr>
              <w:t>分。（案例不分产品种类）</w:t>
            </w:r>
          </w:p>
        </w:tc>
        <w:tc>
          <w:tcPr>
            <w:tcW w:w="2040" w:type="dxa"/>
            <w:vAlign w:val="center"/>
          </w:tcPr>
          <w:p>
            <w:pPr>
              <w:pStyle w:val="8"/>
              <w:snapToGrid/>
              <w:spacing w:before="78" w:after="78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提供合同关键页复印件加盖鲜章，不提供或提供不符合要求的不得分。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70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34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eastAsia="方正仿宋_GBK"/>
                <w:sz w:val="15"/>
                <w:szCs w:val="15"/>
                <w:lang w:val="zh-CN"/>
              </w:rPr>
            </w:pPr>
            <w:r>
              <w:rPr>
                <w:rFonts w:hint="eastAsia" w:ascii="宋体"/>
                <w:sz w:val="18"/>
                <w:szCs w:val="18"/>
              </w:rPr>
              <w:t>本地化服务能力</w:t>
            </w:r>
          </w:p>
        </w:tc>
        <w:tc>
          <w:tcPr>
            <w:tcW w:w="1290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5分</w:t>
            </w:r>
          </w:p>
        </w:tc>
        <w:tc>
          <w:tcPr>
            <w:tcW w:w="4536" w:type="dxa"/>
            <w:vAlign w:val="center"/>
          </w:tcPr>
          <w:p>
            <w:pPr>
              <w:pStyle w:val="8"/>
              <w:snapToGrid/>
              <w:spacing w:before="78" w:after="78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服务</w:t>
            </w:r>
            <w:r>
              <w:rPr>
                <w:rFonts w:hint="eastAsia" w:ascii="宋体"/>
                <w:sz w:val="18"/>
                <w:szCs w:val="18"/>
              </w:rPr>
              <w:t>商在采购方所在地有固定办公场所，或可以驻点办公，及时提供本地服务。（满足得5分，不满足不得分）</w:t>
            </w:r>
          </w:p>
        </w:tc>
        <w:tc>
          <w:tcPr>
            <w:tcW w:w="2040" w:type="dxa"/>
            <w:vAlign w:val="center"/>
          </w:tcPr>
          <w:p>
            <w:pPr>
              <w:pStyle w:val="8"/>
              <w:snapToGrid/>
              <w:spacing w:before="78" w:after="78"/>
              <w:ind w:left="0" w:leftChars="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需要提供办公场所租赁合同复印件或可驻点办公承诺函。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870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34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比选文件规范性</w:t>
            </w:r>
          </w:p>
        </w:tc>
        <w:tc>
          <w:tcPr>
            <w:tcW w:w="1290" w:type="dxa"/>
            <w:vAlign w:val="center"/>
          </w:tcPr>
          <w:p>
            <w:pPr>
              <w:pStyle w:val="8"/>
              <w:snapToGrid/>
              <w:spacing w:before="78" w:after="78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/>
                <w:sz w:val="18"/>
                <w:szCs w:val="18"/>
              </w:rPr>
              <w:t>分</w:t>
            </w:r>
          </w:p>
        </w:tc>
        <w:tc>
          <w:tcPr>
            <w:tcW w:w="4536" w:type="dxa"/>
            <w:vAlign w:val="center"/>
          </w:tcPr>
          <w:p>
            <w:pPr>
              <w:pStyle w:val="8"/>
              <w:snapToGrid/>
              <w:spacing w:before="78" w:after="78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比选文件有一处不规范扣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/>
                <w:sz w:val="18"/>
                <w:szCs w:val="18"/>
              </w:rPr>
              <w:t>分，扣完为止。（内容清晰工整、无涂改、胶装成册无活页、零散页等情况）</w:t>
            </w:r>
          </w:p>
        </w:tc>
        <w:tc>
          <w:tcPr>
            <w:tcW w:w="2040" w:type="dxa"/>
            <w:vAlign w:val="center"/>
          </w:tcPr>
          <w:p>
            <w:pPr>
              <w:pStyle w:val="8"/>
              <w:snapToGrid/>
              <w:spacing w:before="78" w:after="78"/>
              <w:ind w:firstLine="270" w:firstLineChars="150"/>
              <w:jc w:val="both"/>
              <w:rPr>
                <w:rFonts w:hint="eastAsia" w:ascii="宋体"/>
                <w:sz w:val="18"/>
                <w:szCs w:val="18"/>
              </w:rPr>
            </w:pPr>
          </w:p>
          <w:p>
            <w:pPr>
              <w:pStyle w:val="8"/>
              <w:snapToGrid/>
              <w:spacing w:before="78" w:after="78"/>
              <w:ind w:firstLine="540" w:firstLineChars="30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/>
              <w:spacing w:before="78" w:beforeLines="25" w:after="78" w:afterLines="25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合计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/>
              <w:spacing w:before="78" w:beforeLines="25" w:after="78" w:afterLines="25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/>
              <w:spacing w:before="78" w:beforeLines="25" w:after="78" w:afterLines="25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100分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/>
              <w:spacing w:before="78" w:beforeLines="25" w:after="78" w:afterLines="25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/>
              <w:spacing w:before="78" w:beforeLines="25" w:after="78" w:afterLines="25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仿宋" w:eastAsia="仿宋" w:cs="仿宋"/>
          <w:b/>
          <w:sz w:val="24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A78054"/>
    <w:multiLevelType w:val="singleLevel"/>
    <w:tmpl w:val="ACA78054"/>
    <w:lvl w:ilvl="0" w:tentative="0">
      <w:start w:val="3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8D4108"/>
    <w:rsid w:val="000E6E66"/>
    <w:rsid w:val="002B4EA7"/>
    <w:rsid w:val="00391617"/>
    <w:rsid w:val="003A737B"/>
    <w:rsid w:val="005816BC"/>
    <w:rsid w:val="00803686"/>
    <w:rsid w:val="008B4383"/>
    <w:rsid w:val="008D4108"/>
    <w:rsid w:val="00C3010B"/>
    <w:rsid w:val="00C37AF2"/>
    <w:rsid w:val="00C42B32"/>
    <w:rsid w:val="00C52313"/>
    <w:rsid w:val="00C727B9"/>
    <w:rsid w:val="00CA5C88"/>
    <w:rsid w:val="00D02D78"/>
    <w:rsid w:val="00D937E0"/>
    <w:rsid w:val="00E156AD"/>
    <w:rsid w:val="01EB7651"/>
    <w:rsid w:val="044E2001"/>
    <w:rsid w:val="0569249A"/>
    <w:rsid w:val="066A7A79"/>
    <w:rsid w:val="06F35CC2"/>
    <w:rsid w:val="0B0749AF"/>
    <w:rsid w:val="0EC30534"/>
    <w:rsid w:val="0FB3423F"/>
    <w:rsid w:val="11E9202A"/>
    <w:rsid w:val="12157324"/>
    <w:rsid w:val="14D0023C"/>
    <w:rsid w:val="167A07E4"/>
    <w:rsid w:val="1707438E"/>
    <w:rsid w:val="17B15508"/>
    <w:rsid w:val="1A3741A7"/>
    <w:rsid w:val="23BD5235"/>
    <w:rsid w:val="27514612"/>
    <w:rsid w:val="289330D3"/>
    <w:rsid w:val="2B874DAC"/>
    <w:rsid w:val="44214D37"/>
    <w:rsid w:val="452B604A"/>
    <w:rsid w:val="49A61029"/>
    <w:rsid w:val="5ACD31BA"/>
    <w:rsid w:val="5FAD6B2B"/>
    <w:rsid w:val="61023CAB"/>
    <w:rsid w:val="641B0973"/>
    <w:rsid w:val="65DD3733"/>
    <w:rsid w:val="6DAA1953"/>
    <w:rsid w:val="7090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ind w:firstLine="630"/>
    </w:pPr>
    <w:rPr>
      <w:rFonts w:ascii="Calibri" w:hAnsi="Calibri" w:cs="Arial"/>
      <w:sz w:val="32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annotation reference"/>
    <w:qFormat/>
    <w:uiPriority w:val="0"/>
    <w:rPr>
      <w:sz w:val="21"/>
      <w:szCs w:val="21"/>
    </w:rPr>
  </w:style>
  <w:style w:type="paragraph" w:styleId="13">
    <w:name w:val="List Paragraph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character" w:customStyle="1" w:styleId="14">
    <w:name w:val="正文文本缩进 Char1"/>
    <w:basedOn w:val="1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页脚 字符"/>
    <w:qFormat/>
    <w:uiPriority w:val="0"/>
    <w:rPr>
      <w:kern w:val="2"/>
      <w:sz w:val="18"/>
      <w:szCs w:val="18"/>
    </w:rPr>
  </w:style>
  <w:style w:type="paragraph" w:customStyle="1" w:styleId="16">
    <w:name w:val="标准正文"/>
    <w:qFormat/>
    <w:uiPriority w:val="0"/>
    <w:pPr>
      <w:widowControl w:val="0"/>
      <w:adjustRightInd w:val="0"/>
      <w:snapToGrid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3061</Words>
  <Characters>3139</Characters>
  <Lines>17</Lines>
  <Paragraphs>4</Paragraphs>
  <TotalTime>6</TotalTime>
  <ScaleCrop>false</ScaleCrop>
  <LinksUpToDate>false</LinksUpToDate>
  <CharactersWithSpaces>3158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2019-10-23T11:21:00Z</dcterms:created>
  <dc:creator>admin</dc:creator>
  <cp:lastModifiedBy>Rachel</cp:lastModifiedBy>
  <cp:lastPrinted>2021-06-30T17:37:00Z</cp:lastPrinted>
  <dcterms:modified xsi:type="dcterms:W3CDTF">2023-03-14T09:05:29Z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86CBCF33D52B469AABC611EC3CBC504A</vt:lpwstr>
  </property>
  <property fmtid="{D5CDD505-2E9C-101B-9397-08002B2CF9AE}" pid="4" name="commondata">
    <vt:lpwstr>eyJoZGlkIjoiMjJjNWY0MmVhYjM0M2UzMjFjOTEwZTRjZmE4ZTE1MDYifQ==</vt:lpwstr>
  </property>
</Properties>
</file>